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8"/>
      </w:tblGrid>
      <w:tr w:rsidR="00A73480" w14:paraId="2F0A9E24" w14:textId="77777777" w:rsidTr="00A73480">
        <w:trPr>
          <w:trHeight w:val="416"/>
        </w:trPr>
        <w:tc>
          <w:tcPr>
            <w:tcW w:w="6658" w:type="dxa"/>
          </w:tcPr>
          <w:p w14:paraId="13FA77C7" w14:textId="77777777" w:rsidR="00A73480" w:rsidRPr="00D61EFE" w:rsidRDefault="00A73480" w:rsidP="00A73480">
            <w:pPr>
              <w:ind w:firstLine="0"/>
              <w:rPr>
                <w:color w:val="13CC99"/>
              </w:rPr>
            </w:pPr>
            <w:r w:rsidRPr="00D61EFE">
              <w:rPr>
                <w:rFonts w:ascii="Segoe UI" w:hAnsi="Segoe UI" w:cs="Segoe UI"/>
                <w:b/>
                <w:bCs/>
                <w:color w:val="13CC99"/>
                <w:sz w:val="24"/>
                <w:szCs w:val="24"/>
                <w:shd w:val="clear" w:color="auto" w:fill="FFFFFF"/>
              </w:rPr>
              <w:t>Journal of Integrative Nursing and Palliative Care (JINPC)</w:t>
            </w:r>
          </w:p>
        </w:tc>
        <w:tc>
          <w:tcPr>
            <w:tcW w:w="2358" w:type="dxa"/>
            <w:vMerge w:val="restart"/>
            <w:vAlign w:val="center"/>
          </w:tcPr>
          <w:p w14:paraId="0AD1D5FA" w14:textId="77777777" w:rsidR="00A73480" w:rsidRDefault="00A73480" w:rsidP="00A73480">
            <w:pPr>
              <w:ind w:firstLine="0"/>
              <w:jc w:val="center"/>
            </w:pPr>
            <w:r>
              <w:rPr>
                <w:noProof/>
              </w:rPr>
              <mc:AlternateContent>
                <mc:Choice Requires="wps">
                  <w:drawing>
                    <wp:inline distT="0" distB="0" distL="0" distR="0" wp14:anchorId="6FEAE928" wp14:editId="03C578A9">
                      <wp:extent cx="1343025" cy="419100"/>
                      <wp:effectExtent l="0" t="0" r="9525" b="0"/>
                      <wp:docPr id="1" name="Flowchart: Alternate Process 1"/>
                      <wp:cNvGraphicFramePr/>
                      <a:graphic xmlns:a="http://schemas.openxmlformats.org/drawingml/2006/main">
                        <a:graphicData uri="http://schemas.microsoft.com/office/word/2010/wordprocessingShape">
                          <wps:wsp>
                            <wps:cNvSpPr/>
                            <wps:spPr>
                              <a:xfrm>
                                <a:off x="0" y="0"/>
                                <a:ext cx="1343025" cy="419100"/>
                              </a:xfrm>
                              <a:prstGeom prst="flowChartAlternateProcess">
                                <a:avLst/>
                              </a:prstGeom>
                              <a:solidFill>
                                <a:srgbClr val="13CC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5D747F" w14:textId="77777777" w:rsidR="00A73480" w:rsidRPr="00A73480" w:rsidRDefault="008A7C90" w:rsidP="00A73480">
                                  <w:pPr>
                                    <w:ind w:firstLine="0"/>
                                    <w:jc w:val="center"/>
                                    <w:rPr>
                                      <w:rFonts w:ascii="Segoe UI" w:hAnsi="Segoe UI" w:cs="Segoe UI"/>
                                      <w:b/>
                                      <w:bCs/>
                                      <w:sz w:val="24"/>
                                      <w:szCs w:val="24"/>
                                      <w:lang w:bidi="fa-IR"/>
                                    </w:rPr>
                                  </w:pPr>
                                  <w:r w:rsidRPr="008A7C90">
                                    <w:rPr>
                                      <w:rFonts w:ascii="Segoe UI" w:hAnsi="Segoe UI" w:cs="Segoe UI"/>
                                      <w:b/>
                                      <w:bCs/>
                                      <w:sz w:val="24"/>
                                      <w:szCs w:val="24"/>
                                      <w:highlight w:val="red"/>
                                      <w:lang w:bidi="fa-IR"/>
                                    </w:rPr>
                                    <w:t>Original</w:t>
                                  </w:r>
                                  <w:r w:rsidR="00A73480" w:rsidRPr="00A73480">
                                    <w:rPr>
                                      <w:rFonts w:ascii="Segoe UI" w:hAnsi="Segoe UI" w:cs="Segoe UI"/>
                                      <w:b/>
                                      <w:bCs/>
                                      <w:sz w:val="24"/>
                                      <w:szCs w:val="24"/>
                                      <w:lang w:bidi="fa-IR"/>
                                    </w:rPr>
                                    <w:t xml:space="preserve">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FEAE9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width:10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" fillcolor="#13cc99" stroked="f" strokeweight="1pt">
                      <v:textbox>
                        <w:txbxContent>
                          <w:p w14:paraId="6C5D747F" w14:textId="77777777" w:rsidR="00A73480" w:rsidRPr="00A73480" w:rsidRDefault="008A7C90" w:rsidP="00A73480">
                            <w:pPr>
                              <w:ind w:firstLine="0"/>
                              <w:jc w:val="center"/>
                              <w:rPr>
                                <w:rFonts w:ascii="Segoe UI" w:hAnsi="Segoe UI" w:cs="Segoe UI"/>
                                <w:b/>
                                <w:bCs/>
                                <w:sz w:val="24"/>
                                <w:szCs w:val="24"/>
                                <w:lang w:bidi="fa-IR"/>
                              </w:rPr>
                            </w:pPr>
                            <w:r w:rsidRPr="008A7C90">
                              <w:rPr>
                                <w:rFonts w:ascii="Segoe UI" w:hAnsi="Segoe UI" w:cs="Segoe UI"/>
                                <w:b/>
                                <w:bCs/>
                                <w:sz w:val="24"/>
                                <w:szCs w:val="24"/>
                                <w:highlight w:val="red"/>
                                <w:lang w:bidi="fa-IR"/>
                              </w:rPr>
                              <w:t>Original</w:t>
                            </w:r>
                            <w:r w:rsidR="00A73480" w:rsidRPr="00A73480">
                              <w:rPr>
                                <w:rFonts w:ascii="Segoe UI" w:hAnsi="Segoe UI" w:cs="Segoe UI"/>
                                <w:b/>
                                <w:bCs/>
                                <w:sz w:val="24"/>
                                <w:szCs w:val="24"/>
                                <w:lang w:bidi="fa-IR"/>
                              </w:rPr>
                              <w:t xml:space="preserve"> Article</w:t>
                            </w:r>
                          </w:p>
                        </w:txbxContent>
                      </v:textbox>
                      <w10:anchorlock/>
                    </v:shape>
                  </w:pict>
                </mc:Fallback>
              </mc:AlternateContent>
            </w:r>
          </w:p>
        </w:tc>
      </w:tr>
      <w:tr w:rsidR="00A73480" w14:paraId="5B521F1E" w14:textId="77777777" w:rsidTr="00A73480">
        <w:trPr>
          <w:trHeight w:val="139"/>
        </w:trPr>
        <w:tc>
          <w:tcPr>
            <w:tcW w:w="6658" w:type="dxa"/>
          </w:tcPr>
          <w:p w14:paraId="4561A3C1" w14:textId="77777777" w:rsidR="00A73480" w:rsidRPr="00D61EFE" w:rsidRDefault="00A73480" w:rsidP="00A73480">
            <w:pPr>
              <w:ind w:firstLine="0"/>
              <w:rPr>
                <w:color w:val="13CC99"/>
              </w:rPr>
            </w:pPr>
            <w:r w:rsidRPr="00D61EFE">
              <w:rPr>
                <w:noProof/>
                <w:color w:val="13CC99"/>
              </w:rPr>
              <mc:AlternateContent>
                <mc:Choice Requires="wps">
                  <w:drawing>
                    <wp:anchor distT="0" distB="0" distL="114300" distR="114300" simplePos="0" relativeHeight="251659264" behindDoc="0" locked="0" layoutInCell="1" allowOverlap="1" wp14:anchorId="666FFE18" wp14:editId="20386087">
                      <wp:simplePos x="0" y="0"/>
                      <wp:positionH relativeFrom="column">
                        <wp:posOffset>-5080</wp:posOffset>
                      </wp:positionH>
                      <wp:positionV relativeFrom="paragraph">
                        <wp:posOffset>85090</wp:posOffset>
                      </wp:positionV>
                      <wp:extent cx="41148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4114800" cy="0"/>
                              </a:xfrm>
                              <a:prstGeom prst="line">
                                <a:avLst/>
                              </a:prstGeom>
                              <a:ln w="38100">
                                <a:solidFill>
                                  <a:srgbClr val="13CC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26257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6.7pt" to="323.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" strokecolor="#13cc99" strokeweight="3pt">
                      <v:stroke joinstyle="miter"/>
                    </v:line>
                  </w:pict>
                </mc:Fallback>
              </mc:AlternateContent>
            </w:r>
          </w:p>
        </w:tc>
        <w:tc>
          <w:tcPr>
            <w:tcW w:w="2358" w:type="dxa"/>
            <w:vMerge/>
          </w:tcPr>
          <w:p w14:paraId="4DD40F0C" w14:textId="77777777" w:rsidR="00A73480" w:rsidRDefault="00A73480" w:rsidP="00A73480">
            <w:pPr>
              <w:ind w:firstLine="0"/>
            </w:pPr>
          </w:p>
        </w:tc>
      </w:tr>
      <w:tr w:rsidR="00A73480" w14:paraId="700D519D" w14:textId="77777777" w:rsidTr="00A73480">
        <w:trPr>
          <w:trHeight w:val="284"/>
        </w:trPr>
        <w:tc>
          <w:tcPr>
            <w:tcW w:w="6658" w:type="dxa"/>
          </w:tcPr>
          <w:p w14:paraId="3E2D18BD" w14:textId="77777777" w:rsidR="00A73480" w:rsidRDefault="00A73480" w:rsidP="000719F8">
            <w:pPr>
              <w:ind w:firstLine="0"/>
              <w:rPr>
                <w:rFonts w:ascii="Segoe UI" w:hAnsi="Segoe UI" w:cs="Segoe UI"/>
                <w:b/>
                <w:bCs/>
                <w:color w:val="13CC99"/>
                <w:sz w:val="18"/>
                <w:szCs w:val="18"/>
                <w:shd w:val="clear" w:color="auto" w:fill="FFFFFF"/>
              </w:rPr>
            </w:pPr>
            <w:r w:rsidRPr="00A57072">
              <w:rPr>
                <w:rFonts w:ascii="Segoe UI" w:hAnsi="Segoe UI" w:cs="Segoe UI"/>
                <w:b/>
                <w:bCs/>
                <w:color w:val="13CC99"/>
                <w:sz w:val="18"/>
                <w:szCs w:val="18"/>
                <w:shd w:val="clear" w:color="auto" w:fill="FFFFFF"/>
              </w:rPr>
              <w:t xml:space="preserve">Volume </w:t>
            </w:r>
            <w:r w:rsidR="000719F8" w:rsidRPr="00A57072">
              <w:rPr>
                <w:rFonts w:ascii="Segoe UI" w:hAnsi="Segoe UI" w:cs="Segoe UI"/>
                <w:b/>
                <w:bCs/>
                <w:color w:val="13CC99"/>
                <w:sz w:val="18"/>
                <w:szCs w:val="18"/>
                <w:highlight w:val="yellow"/>
                <w:shd w:val="clear" w:color="auto" w:fill="FFFFFF"/>
              </w:rPr>
              <w:t>1</w:t>
            </w:r>
            <w:r w:rsidRPr="00A57072">
              <w:rPr>
                <w:rFonts w:ascii="Segoe UI" w:hAnsi="Segoe UI" w:cs="Segoe UI"/>
                <w:b/>
                <w:bCs/>
                <w:color w:val="13CC99"/>
                <w:sz w:val="18"/>
                <w:szCs w:val="18"/>
                <w:shd w:val="clear" w:color="auto" w:fill="FFFFFF"/>
              </w:rPr>
              <w:t xml:space="preserve"> | Issue </w:t>
            </w:r>
            <w:r w:rsidRPr="00A57072">
              <w:rPr>
                <w:rFonts w:ascii="Segoe UI" w:hAnsi="Segoe UI" w:cs="Segoe UI"/>
                <w:b/>
                <w:bCs/>
                <w:color w:val="13CC99"/>
                <w:sz w:val="18"/>
                <w:szCs w:val="18"/>
                <w:highlight w:val="yellow"/>
                <w:shd w:val="clear" w:color="auto" w:fill="FFFFFF"/>
              </w:rPr>
              <w:t>x</w:t>
            </w:r>
            <w:r w:rsidRPr="00A57072">
              <w:rPr>
                <w:rFonts w:ascii="Segoe UI" w:hAnsi="Segoe UI" w:cs="Segoe UI"/>
                <w:b/>
                <w:bCs/>
                <w:color w:val="13CC99"/>
                <w:sz w:val="18"/>
                <w:szCs w:val="18"/>
                <w:shd w:val="clear" w:color="auto" w:fill="FFFFFF"/>
              </w:rPr>
              <w:t xml:space="preserve"> | Page </w:t>
            </w:r>
            <w:r w:rsidRPr="00A57072">
              <w:rPr>
                <w:rFonts w:ascii="Segoe UI" w:hAnsi="Segoe UI" w:cs="Segoe UI"/>
                <w:b/>
                <w:bCs/>
                <w:color w:val="13CC99"/>
                <w:sz w:val="18"/>
                <w:szCs w:val="18"/>
                <w:highlight w:val="yellow"/>
                <w:shd w:val="clear" w:color="auto" w:fill="FFFFFF"/>
              </w:rPr>
              <w:t>xx-xx</w:t>
            </w:r>
          </w:p>
          <w:p w14:paraId="7880A0FB" w14:textId="0DFD3B50" w:rsidR="00D81B5D" w:rsidRPr="00A73480" w:rsidRDefault="00D81B5D" w:rsidP="000719F8">
            <w:pPr>
              <w:ind w:firstLine="0"/>
              <w:rPr>
                <w:color w:val="007035"/>
              </w:rPr>
            </w:pPr>
            <w:bookmarkStart w:id="0" w:name="_GoBack"/>
            <w:r w:rsidRPr="00D81B5D">
              <w:rPr>
                <w:rFonts w:ascii="Segoe UI" w:hAnsi="Segoe UI" w:cs="Segoe UI"/>
                <w:b/>
                <w:bCs/>
                <w:color w:val="13CC99"/>
                <w:sz w:val="18"/>
                <w:szCs w:val="18"/>
                <w:shd w:val="clear" w:color="auto" w:fill="FFFFFF"/>
              </w:rPr>
              <w:t>Copyright CC BY 4.0</w:t>
            </w:r>
            <w:bookmarkEnd w:id="0"/>
          </w:p>
        </w:tc>
        <w:tc>
          <w:tcPr>
            <w:tcW w:w="2358" w:type="dxa"/>
            <w:vMerge/>
          </w:tcPr>
          <w:p w14:paraId="79ACAA47" w14:textId="77777777" w:rsidR="00A73480" w:rsidRDefault="00A73480" w:rsidP="00A73480">
            <w:pPr>
              <w:ind w:firstLine="0"/>
            </w:pPr>
          </w:p>
        </w:tc>
      </w:tr>
    </w:tbl>
    <w:p w14:paraId="4A00DC8F" w14:textId="77777777" w:rsidR="00C90D84" w:rsidRDefault="00C90D84" w:rsidP="00A73480">
      <w:pPr>
        <w:ind w:firstLine="0"/>
      </w:pPr>
    </w:p>
    <w:p w14:paraId="1E1A42C7" w14:textId="77777777" w:rsidR="00A73480" w:rsidRDefault="00A73480" w:rsidP="00A73480">
      <w:pPr>
        <w:ind w:firstLine="0"/>
      </w:pPr>
    </w:p>
    <w:p w14:paraId="70808430" w14:textId="77777777" w:rsidR="00A73480" w:rsidRPr="008A7C90" w:rsidRDefault="008A7C90" w:rsidP="008A7C90">
      <w:pPr>
        <w:ind w:firstLine="0"/>
        <w:jc w:val="center"/>
        <w:rPr>
          <w:rFonts w:asciiTheme="majorBidi" w:eastAsiaTheme="minorEastAsia" w:hAnsiTheme="majorBidi" w:cstheme="majorBidi"/>
          <w:b/>
          <w:color w:val="000000" w:themeColor="text1"/>
          <w:sz w:val="28"/>
          <w:szCs w:val="28"/>
        </w:rPr>
      </w:pPr>
      <w:commentRangeStart w:id="1"/>
      <w:r w:rsidRPr="008A7C90">
        <w:rPr>
          <w:rFonts w:asciiTheme="majorBidi" w:eastAsiaTheme="minorEastAsia" w:hAnsiTheme="majorBidi" w:cstheme="majorBidi"/>
          <w:b/>
          <w:color w:val="000000" w:themeColor="text1"/>
          <w:sz w:val="28"/>
          <w:szCs w:val="28"/>
        </w:rPr>
        <w:t xml:space="preserve">Investigating Factors Related to Hepatitis </w:t>
      </w:r>
      <w:proofErr w:type="spellStart"/>
      <w:r w:rsidRPr="008A7C90">
        <w:rPr>
          <w:rFonts w:asciiTheme="majorBidi" w:eastAsiaTheme="minorEastAsia" w:hAnsiTheme="majorBidi" w:cstheme="majorBidi"/>
          <w:b/>
          <w:color w:val="000000" w:themeColor="text1"/>
          <w:sz w:val="28"/>
          <w:szCs w:val="28"/>
        </w:rPr>
        <w:t>a</w:t>
      </w:r>
      <w:proofErr w:type="spellEnd"/>
      <w:r w:rsidRPr="008A7C90">
        <w:rPr>
          <w:rFonts w:asciiTheme="majorBidi" w:eastAsiaTheme="minorEastAsia" w:hAnsiTheme="majorBidi" w:cstheme="majorBidi"/>
          <w:b/>
          <w:color w:val="000000" w:themeColor="text1"/>
          <w:sz w:val="28"/>
          <w:szCs w:val="28"/>
        </w:rPr>
        <w:t xml:space="preserve"> Outbreak in Ismailia Village, Karun City, in 2019</w:t>
      </w:r>
      <w:commentRangeEnd w:id="1"/>
      <w:r w:rsidR="00ED3F3D">
        <w:rPr>
          <w:rStyle w:val="CommentReference"/>
        </w:rPr>
        <w:commentReference w:id="1"/>
      </w:r>
    </w:p>
    <w:p w14:paraId="0D5C129D" w14:textId="77777777" w:rsidR="00574EF5" w:rsidRPr="00574EF5" w:rsidRDefault="00574EF5" w:rsidP="00A73480">
      <w:pPr>
        <w:ind w:firstLine="0"/>
        <w:rPr>
          <w:rFonts w:asciiTheme="majorBidi" w:eastAsiaTheme="minorEastAsia" w:hAnsiTheme="majorBidi" w:cstheme="majorBidi"/>
          <w:b/>
          <w:color w:val="000000" w:themeColor="text1"/>
          <w:sz w:val="36"/>
          <w:szCs w:val="36"/>
        </w:rPr>
      </w:pPr>
    </w:p>
    <w:p w14:paraId="2042B72D" w14:textId="77777777" w:rsidR="00574EF5" w:rsidRPr="008A7C90" w:rsidRDefault="008A7C90" w:rsidP="008A7C90">
      <w:pPr>
        <w:ind w:firstLine="0"/>
        <w:jc w:val="center"/>
        <w:rPr>
          <w:rFonts w:asciiTheme="majorBidi" w:hAnsiTheme="majorBidi" w:cstheme="majorBidi"/>
          <w:b/>
          <w:bCs/>
          <w:sz w:val="24"/>
          <w:szCs w:val="24"/>
          <w:vertAlign w:val="superscript"/>
        </w:rPr>
      </w:pPr>
      <w:r w:rsidRPr="008A7C90">
        <w:rPr>
          <w:rFonts w:asciiTheme="majorBidi" w:hAnsiTheme="majorBidi" w:cstheme="majorBidi"/>
          <w:b/>
          <w:bCs/>
          <w:sz w:val="24"/>
          <w:szCs w:val="24"/>
        </w:rPr>
        <w:t>Ehsan Keshavarzian</w:t>
      </w:r>
      <w:r w:rsidRPr="008A7C90">
        <w:rPr>
          <w:rFonts w:asciiTheme="majorBidi" w:hAnsiTheme="majorBidi" w:cstheme="majorBidi"/>
          <w:b/>
          <w:bCs/>
          <w:sz w:val="24"/>
          <w:szCs w:val="24"/>
          <w:vertAlign w:val="superscript"/>
        </w:rPr>
        <w:t>1*</w:t>
      </w:r>
      <w:r w:rsidRPr="008A7C90">
        <w:rPr>
          <w:rFonts w:asciiTheme="majorBidi" w:hAnsiTheme="majorBidi" w:cstheme="majorBidi"/>
          <w:b/>
          <w:bCs/>
          <w:sz w:val="24"/>
          <w:szCs w:val="24"/>
        </w:rPr>
        <w:t xml:space="preserve">, </w:t>
      </w:r>
      <w:proofErr w:type="spellStart"/>
      <w:r w:rsidRPr="008A7C90">
        <w:rPr>
          <w:rFonts w:asciiTheme="majorBidi" w:hAnsiTheme="majorBidi" w:cstheme="majorBidi"/>
          <w:b/>
          <w:bCs/>
          <w:sz w:val="24"/>
          <w:szCs w:val="24"/>
        </w:rPr>
        <w:t>Fatemeh</w:t>
      </w:r>
      <w:proofErr w:type="spellEnd"/>
      <w:r w:rsidRPr="008A7C90">
        <w:rPr>
          <w:rFonts w:asciiTheme="majorBidi" w:hAnsiTheme="majorBidi" w:cstheme="majorBidi"/>
          <w:b/>
          <w:bCs/>
          <w:sz w:val="24"/>
          <w:szCs w:val="24"/>
        </w:rPr>
        <w:t xml:space="preserve"> Fayazi</w:t>
      </w:r>
      <w:r w:rsidRPr="008A7C90">
        <w:rPr>
          <w:rFonts w:asciiTheme="majorBidi" w:hAnsiTheme="majorBidi" w:cstheme="majorBidi"/>
          <w:b/>
          <w:bCs/>
          <w:sz w:val="24"/>
          <w:szCs w:val="24"/>
          <w:vertAlign w:val="superscript"/>
        </w:rPr>
        <w:t>2</w:t>
      </w:r>
      <w:r w:rsidRPr="008A7C90">
        <w:rPr>
          <w:rFonts w:asciiTheme="majorBidi" w:hAnsiTheme="majorBidi" w:cstheme="majorBidi"/>
          <w:b/>
          <w:bCs/>
          <w:sz w:val="24"/>
          <w:szCs w:val="24"/>
        </w:rPr>
        <w:t xml:space="preserve">, </w:t>
      </w:r>
      <w:proofErr w:type="spellStart"/>
      <w:r w:rsidRPr="008A7C90">
        <w:rPr>
          <w:rFonts w:asciiTheme="majorBidi" w:hAnsiTheme="majorBidi" w:cstheme="majorBidi"/>
          <w:b/>
          <w:bCs/>
          <w:sz w:val="24"/>
          <w:szCs w:val="24"/>
        </w:rPr>
        <w:t>Mojdeh</w:t>
      </w:r>
      <w:proofErr w:type="spellEnd"/>
      <w:r w:rsidRPr="008A7C90">
        <w:rPr>
          <w:rFonts w:asciiTheme="majorBidi" w:hAnsiTheme="majorBidi" w:cstheme="majorBidi"/>
          <w:b/>
          <w:bCs/>
          <w:sz w:val="24"/>
          <w:szCs w:val="24"/>
        </w:rPr>
        <w:t xml:space="preserve"> </w:t>
      </w:r>
      <w:proofErr w:type="spellStart"/>
      <w:r w:rsidRPr="008A7C90">
        <w:rPr>
          <w:rFonts w:asciiTheme="majorBidi" w:hAnsiTheme="majorBidi" w:cstheme="majorBidi"/>
          <w:b/>
          <w:bCs/>
          <w:sz w:val="24"/>
          <w:szCs w:val="24"/>
        </w:rPr>
        <w:t>Salehi</w:t>
      </w:r>
      <w:proofErr w:type="spellEnd"/>
      <w:r w:rsidRPr="008A7C90">
        <w:rPr>
          <w:rFonts w:asciiTheme="majorBidi" w:hAnsiTheme="majorBidi" w:cstheme="majorBidi"/>
          <w:b/>
          <w:bCs/>
          <w:sz w:val="24"/>
          <w:szCs w:val="24"/>
        </w:rPr>
        <w:t xml:space="preserve"> Morkani</w:t>
      </w:r>
      <w:r w:rsidRPr="008A7C90">
        <w:rPr>
          <w:rFonts w:asciiTheme="majorBidi" w:hAnsiTheme="majorBidi" w:cstheme="majorBidi"/>
          <w:b/>
          <w:bCs/>
          <w:sz w:val="24"/>
          <w:szCs w:val="24"/>
          <w:vertAlign w:val="superscript"/>
        </w:rPr>
        <w:t>1</w:t>
      </w:r>
    </w:p>
    <w:p w14:paraId="3A79FE48" w14:textId="77777777" w:rsidR="00574EF5" w:rsidRPr="00574EF5" w:rsidRDefault="00574EF5" w:rsidP="00574EF5">
      <w:pPr>
        <w:rPr>
          <w:rFonts w:asciiTheme="majorBidi" w:hAnsiTheme="majorBidi" w:cstheme="majorBidi"/>
          <w:b/>
          <w:bCs/>
          <w:sz w:val="16"/>
          <w:szCs w:val="16"/>
        </w:rPr>
      </w:pPr>
    </w:p>
    <w:p w14:paraId="751CEE30" w14:textId="77777777" w:rsidR="008A7C90" w:rsidRPr="008A7C90" w:rsidRDefault="00574EF5" w:rsidP="008A7C90">
      <w:pPr>
        <w:ind w:firstLine="0"/>
        <w:jc w:val="center"/>
        <w:rPr>
          <w:rFonts w:asciiTheme="majorBidi" w:hAnsiTheme="majorBidi" w:cstheme="majorBidi"/>
          <w:bCs/>
          <w:color w:val="000000" w:themeColor="text1"/>
          <w:sz w:val="20"/>
          <w:szCs w:val="20"/>
        </w:rPr>
      </w:pPr>
      <w:r w:rsidRPr="008A7C90">
        <w:rPr>
          <w:rFonts w:asciiTheme="majorBidi" w:hAnsiTheme="majorBidi" w:cstheme="majorBidi"/>
          <w:bCs/>
          <w:color w:val="000000" w:themeColor="text1"/>
          <w:sz w:val="20"/>
          <w:szCs w:val="20"/>
          <w:vertAlign w:val="superscript"/>
        </w:rPr>
        <w:t>1</w:t>
      </w:r>
      <w:r w:rsidR="008A7C90" w:rsidRPr="008A7C90">
        <w:rPr>
          <w:rFonts w:asciiTheme="majorBidi" w:hAnsiTheme="majorBidi" w:cstheme="majorBidi"/>
          <w:bCs/>
          <w:color w:val="000000" w:themeColor="text1"/>
          <w:sz w:val="20"/>
          <w:szCs w:val="20"/>
        </w:rPr>
        <w:t xml:space="preserve">Karun Health Center, Ahvaz </w:t>
      </w:r>
      <w:proofErr w:type="spellStart"/>
      <w:r w:rsidR="008A7C90" w:rsidRPr="008A7C90">
        <w:rPr>
          <w:rFonts w:asciiTheme="majorBidi" w:hAnsiTheme="majorBidi" w:cstheme="majorBidi"/>
          <w:bCs/>
          <w:color w:val="000000" w:themeColor="text1"/>
          <w:sz w:val="20"/>
          <w:szCs w:val="20"/>
        </w:rPr>
        <w:t>Jundishapur</w:t>
      </w:r>
      <w:proofErr w:type="spellEnd"/>
      <w:r w:rsidR="008A7C90" w:rsidRPr="008A7C90">
        <w:rPr>
          <w:rFonts w:asciiTheme="majorBidi" w:hAnsiTheme="majorBidi" w:cstheme="majorBidi"/>
          <w:bCs/>
          <w:color w:val="000000" w:themeColor="text1"/>
          <w:sz w:val="20"/>
          <w:szCs w:val="20"/>
        </w:rPr>
        <w:t xml:space="preserve"> University of Medical Sciences, Ahvaz, Iran.</w:t>
      </w:r>
    </w:p>
    <w:p w14:paraId="71EAA610" w14:textId="77777777" w:rsidR="00574EF5" w:rsidRPr="008A7C90" w:rsidRDefault="008A7C90" w:rsidP="008A7C90">
      <w:pPr>
        <w:ind w:firstLine="0"/>
        <w:jc w:val="center"/>
        <w:rPr>
          <w:rFonts w:asciiTheme="majorBidi" w:hAnsiTheme="majorBidi" w:cstheme="majorBidi"/>
          <w:bCs/>
          <w:color w:val="000000" w:themeColor="text1"/>
          <w:sz w:val="20"/>
          <w:szCs w:val="20"/>
        </w:rPr>
      </w:pPr>
      <w:r w:rsidRPr="008A7C90">
        <w:rPr>
          <w:rFonts w:asciiTheme="majorBidi" w:hAnsiTheme="majorBidi" w:cstheme="majorBidi"/>
          <w:bCs/>
          <w:color w:val="000000" w:themeColor="text1"/>
          <w:sz w:val="20"/>
          <w:szCs w:val="20"/>
          <w:vertAlign w:val="superscript"/>
        </w:rPr>
        <w:t>2</w:t>
      </w:r>
      <w:r w:rsidRPr="008A7C90">
        <w:rPr>
          <w:rFonts w:asciiTheme="majorBidi" w:hAnsiTheme="majorBidi" w:cstheme="majorBidi"/>
          <w:bCs/>
          <w:color w:val="000000" w:themeColor="text1"/>
          <w:sz w:val="20"/>
          <w:szCs w:val="20"/>
        </w:rPr>
        <w:t xml:space="preserve">Shirinshahr Comprehensive Health Center, Karun Health Center, Ahvaz </w:t>
      </w:r>
      <w:proofErr w:type="spellStart"/>
      <w:r w:rsidRPr="008A7C90">
        <w:rPr>
          <w:rFonts w:asciiTheme="majorBidi" w:hAnsiTheme="majorBidi" w:cstheme="majorBidi"/>
          <w:bCs/>
          <w:color w:val="000000" w:themeColor="text1"/>
          <w:sz w:val="20"/>
          <w:szCs w:val="20"/>
        </w:rPr>
        <w:t>Jundishapur</w:t>
      </w:r>
      <w:proofErr w:type="spellEnd"/>
      <w:r w:rsidRPr="008A7C90">
        <w:rPr>
          <w:rFonts w:asciiTheme="majorBidi" w:hAnsiTheme="majorBidi" w:cstheme="majorBidi"/>
          <w:bCs/>
          <w:color w:val="000000" w:themeColor="text1"/>
          <w:sz w:val="20"/>
          <w:szCs w:val="20"/>
        </w:rPr>
        <w:t xml:space="preserve"> University of Medical Sciences, Ahvaz, Iran</w:t>
      </w:r>
      <w:r w:rsidR="00574EF5" w:rsidRPr="008A7C90">
        <w:rPr>
          <w:rFonts w:asciiTheme="majorBidi" w:hAnsiTheme="majorBidi" w:cstheme="majorBidi"/>
          <w:bCs/>
          <w:color w:val="000000" w:themeColor="text1"/>
          <w:sz w:val="20"/>
          <w:szCs w:val="20"/>
        </w:rPr>
        <w:t>.</w:t>
      </w:r>
    </w:p>
    <w:p w14:paraId="51F1B31D" w14:textId="77777777" w:rsidR="00574EF5" w:rsidRPr="00574EF5" w:rsidRDefault="00574EF5" w:rsidP="00574EF5">
      <w:pPr>
        <w:ind w:firstLine="0"/>
        <w:rPr>
          <w:rFonts w:asciiTheme="majorBidi" w:hAnsiTheme="majorBidi" w:cstheme="majorBidi"/>
          <w:bCs/>
          <w:color w:val="000000" w:themeColor="text1"/>
          <w:sz w:val="16"/>
          <w:szCs w:val="16"/>
        </w:rPr>
      </w:pPr>
    </w:p>
    <w:p w14:paraId="407150C1" w14:textId="77777777" w:rsidR="00574EF5" w:rsidRPr="00574EF5" w:rsidRDefault="00574EF5" w:rsidP="00574EF5">
      <w:pPr>
        <w:ind w:firstLine="0"/>
        <w:rPr>
          <w:rFonts w:asciiTheme="majorBidi" w:hAnsiTheme="majorBidi" w:cstheme="majorBidi"/>
          <w:bCs/>
          <w:color w:val="000000" w:themeColor="text1"/>
          <w:sz w:val="16"/>
          <w:szCs w:val="16"/>
        </w:rPr>
      </w:pPr>
    </w:p>
    <w:tbl>
      <w:tblPr>
        <w:tblStyle w:val="TableGrid"/>
        <w:tblW w:w="0" w:type="auto"/>
        <w:tblLook w:val="04A0" w:firstRow="1" w:lastRow="0" w:firstColumn="1" w:lastColumn="0" w:noHBand="0" w:noVBand="1"/>
      </w:tblPr>
      <w:tblGrid>
        <w:gridCol w:w="9006"/>
      </w:tblGrid>
      <w:tr w:rsidR="00574EF5" w:rsidRPr="00574EF5" w14:paraId="4140EAB9" w14:textId="77777777" w:rsidTr="00D61EFE">
        <w:trPr>
          <w:trHeight w:val="4103"/>
        </w:trPr>
        <w:tc>
          <w:tcPr>
            <w:tcW w:w="9016" w:type="dxa"/>
            <w:tcBorders>
              <w:top w:val="single" w:sz="8" w:space="0" w:color="13CC99"/>
              <w:left w:val="single" w:sz="8" w:space="0" w:color="13CC99"/>
              <w:bottom w:val="single" w:sz="8" w:space="0" w:color="13CC99"/>
              <w:right w:val="single" w:sz="8" w:space="0" w:color="13CC99"/>
            </w:tcBorders>
          </w:tcPr>
          <w:p w14:paraId="5633C132" w14:textId="77777777" w:rsidR="00574EF5" w:rsidRPr="000719F8" w:rsidRDefault="00574EF5" w:rsidP="00574EF5">
            <w:pPr>
              <w:autoSpaceDE w:val="0"/>
              <w:autoSpaceDN w:val="0"/>
              <w:adjustRightInd w:val="0"/>
              <w:spacing w:before="240" w:after="240"/>
              <w:ind w:firstLine="0"/>
              <w:contextualSpacing/>
              <w:rPr>
                <w:rFonts w:asciiTheme="majorBidi" w:hAnsiTheme="majorBidi" w:cstheme="majorBidi"/>
                <w:b/>
                <w:bCs/>
                <w:sz w:val="10"/>
                <w:szCs w:val="10"/>
              </w:rPr>
            </w:pPr>
          </w:p>
          <w:p w14:paraId="1A878723" w14:textId="3965FA88" w:rsidR="00574EF5" w:rsidRPr="008A7C90" w:rsidRDefault="00574EF5" w:rsidP="00996A49">
            <w:pPr>
              <w:autoSpaceDE w:val="0"/>
              <w:autoSpaceDN w:val="0"/>
              <w:adjustRightInd w:val="0"/>
              <w:spacing w:before="240" w:after="240"/>
              <w:ind w:firstLine="0"/>
              <w:contextualSpacing/>
              <w:jc w:val="center"/>
              <w:rPr>
                <w:rFonts w:asciiTheme="majorBidi" w:hAnsiTheme="majorBidi" w:cstheme="majorBidi"/>
                <w:b/>
                <w:bCs/>
                <w:sz w:val="20"/>
                <w:szCs w:val="20"/>
              </w:rPr>
            </w:pPr>
            <w:r w:rsidRPr="008A7C90">
              <w:rPr>
                <w:rFonts w:asciiTheme="majorBidi" w:hAnsiTheme="majorBidi" w:cstheme="majorBidi"/>
                <w:b/>
                <w:bCs/>
                <w:sz w:val="20"/>
                <w:szCs w:val="20"/>
              </w:rPr>
              <w:t>Abstract</w:t>
            </w:r>
          </w:p>
          <w:p w14:paraId="5C5819BD" w14:textId="77777777" w:rsidR="00574EF5" w:rsidRPr="008A7C90" w:rsidRDefault="00574EF5" w:rsidP="00574EF5">
            <w:pPr>
              <w:autoSpaceDE w:val="0"/>
              <w:autoSpaceDN w:val="0"/>
              <w:adjustRightInd w:val="0"/>
              <w:spacing w:after="240"/>
              <w:ind w:firstLine="0"/>
              <w:contextualSpacing/>
              <w:rPr>
                <w:rFonts w:asciiTheme="majorBidi" w:hAnsiTheme="majorBidi" w:cstheme="majorBidi"/>
                <w:b/>
                <w:bCs/>
                <w:sz w:val="20"/>
                <w:szCs w:val="20"/>
              </w:rPr>
            </w:pPr>
          </w:p>
          <w:p w14:paraId="3AE04133" w14:textId="77777777" w:rsidR="00574EF5" w:rsidRPr="008A7C90" w:rsidRDefault="00574EF5" w:rsidP="00574EF5">
            <w:pPr>
              <w:autoSpaceDE w:val="0"/>
              <w:autoSpaceDN w:val="0"/>
              <w:adjustRightInd w:val="0"/>
              <w:ind w:firstLine="0"/>
              <w:contextualSpacing/>
              <w:rPr>
                <w:rFonts w:asciiTheme="majorBidi" w:hAnsiTheme="majorBidi" w:cstheme="majorBidi"/>
                <w:sz w:val="20"/>
                <w:szCs w:val="20"/>
              </w:rPr>
            </w:pPr>
            <w:commentRangeStart w:id="2"/>
            <w:r w:rsidRPr="008A7C90">
              <w:rPr>
                <w:rFonts w:asciiTheme="majorBidi" w:hAnsiTheme="majorBidi" w:cstheme="majorBidi"/>
                <w:sz w:val="20"/>
                <w:szCs w:val="20"/>
              </w:rPr>
              <w:t xml:space="preserve">New drug development is a highly regulated and complex process that involves the pharmaceutical industry, academic institutions, and government agencies' collaborative work. In pre-clinical testing, statistics indicate that out of 5000 compounds only five enter and evaluated in human clinical trials, moreover, only one drug is approved for human use. The whole process of drug development takes around $2-2.5 billion and a time of 12-15 years to complete. Around 50 % of investigational compounds fail during the development phase of clinical trials. Despite numerous scientific, technological advancements in research and development, many clinical trials fail to develop new, safe, and effective drugs. Approximately 70% of clinical trials fail in phase 2 whereas; the failure rate of confirmatory trials (phase 3) is around 50%. Tufts center for the study of drug development evaluated the three most common factors behind clinical trial failure- safety, efficacy, and deficient funds. Success-failure of a trial is also associated with other factors like a new molecule, molecular size, and therapeutic efficacy. As drug development involves numerous lives and billions of investments, one failed trial affects the subject’s quality of life by physical/social consequences and huge losses to pharmaceutical companies. To reduce the failure rate, many biopharmaceutical companies have opted or established their own more disciplined protocol, portfolio, and progress review frameworks. These strategies reduce the chances of errors during drug development and help in clinical trials' success rate. </w:t>
            </w:r>
            <w:commentRangeEnd w:id="2"/>
            <w:r w:rsidRPr="008A7C90">
              <w:rPr>
                <w:rStyle w:val="CommentReference"/>
                <w:rFonts w:asciiTheme="majorBidi" w:hAnsiTheme="majorBidi" w:cstheme="majorBidi"/>
                <w:sz w:val="20"/>
                <w:szCs w:val="20"/>
                <w:lang w:val="en-IN"/>
              </w:rPr>
              <w:commentReference w:id="2"/>
            </w:r>
          </w:p>
          <w:p w14:paraId="48321DB0" w14:textId="77777777" w:rsidR="00574EF5" w:rsidRPr="008A7C90" w:rsidRDefault="00574EF5" w:rsidP="00574EF5">
            <w:pPr>
              <w:spacing w:line="238" w:lineRule="exact"/>
              <w:rPr>
                <w:rFonts w:asciiTheme="majorBidi" w:hAnsiTheme="majorBidi" w:cstheme="majorBidi"/>
                <w:sz w:val="20"/>
                <w:szCs w:val="20"/>
              </w:rPr>
            </w:pPr>
          </w:p>
          <w:p w14:paraId="45A9D2D0" w14:textId="77777777" w:rsidR="00574EF5" w:rsidRDefault="00574EF5" w:rsidP="00574EF5">
            <w:pPr>
              <w:ind w:firstLine="0"/>
              <w:rPr>
                <w:rFonts w:asciiTheme="majorBidi" w:hAnsiTheme="majorBidi" w:cstheme="majorBidi"/>
                <w:sz w:val="20"/>
                <w:szCs w:val="20"/>
              </w:rPr>
            </w:pPr>
            <w:r w:rsidRPr="008A7C90">
              <w:rPr>
                <w:rFonts w:asciiTheme="majorBidi" w:eastAsia="Times New Roman" w:hAnsiTheme="majorBidi" w:cstheme="majorBidi"/>
                <w:b/>
                <w:bCs/>
                <w:sz w:val="20"/>
                <w:szCs w:val="20"/>
              </w:rPr>
              <w:t>Keywords:</w:t>
            </w:r>
            <w:r w:rsidRPr="008A7C90">
              <w:rPr>
                <w:rFonts w:asciiTheme="majorBidi" w:hAnsiTheme="majorBidi" w:cstheme="majorBidi"/>
                <w:sz w:val="20"/>
                <w:szCs w:val="20"/>
              </w:rPr>
              <w:t xml:space="preserve"> </w:t>
            </w:r>
            <w:commentRangeStart w:id="3"/>
            <w:r w:rsidRPr="008A7C90">
              <w:rPr>
                <w:rFonts w:asciiTheme="majorBidi" w:hAnsiTheme="majorBidi" w:cstheme="majorBidi"/>
                <w:sz w:val="20"/>
                <w:szCs w:val="20"/>
              </w:rPr>
              <w:t>Clinical trials failure, drug development, financial impact, 5R framework</w:t>
            </w:r>
            <w:commentRangeEnd w:id="3"/>
            <w:r w:rsidRPr="008A7C90">
              <w:rPr>
                <w:rStyle w:val="CommentReference"/>
                <w:rFonts w:asciiTheme="majorBidi" w:hAnsiTheme="majorBidi" w:cstheme="majorBidi"/>
                <w:sz w:val="20"/>
                <w:szCs w:val="20"/>
                <w:lang w:val="en-IN"/>
              </w:rPr>
              <w:commentReference w:id="3"/>
            </w:r>
          </w:p>
          <w:p w14:paraId="1F09424B" w14:textId="77777777" w:rsidR="008A7C90" w:rsidRPr="008A7C90" w:rsidRDefault="008A7C90" w:rsidP="00574EF5">
            <w:pPr>
              <w:ind w:firstLine="0"/>
              <w:rPr>
                <w:rFonts w:asciiTheme="majorBidi" w:hAnsiTheme="majorBidi" w:cstheme="majorBidi"/>
                <w:color w:val="000000" w:themeColor="text1"/>
                <w:sz w:val="10"/>
                <w:szCs w:val="10"/>
              </w:rPr>
            </w:pPr>
          </w:p>
        </w:tc>
      </w:tr>
    </w:tbl>
    <w:p w14:paraId="72798CE0" w14:textId="77777777" w:rsidR="00574EF5" w:rsidRDefault="00574EF5" w:rsidP="00574EF5">
      <w:pPr>
        <w:ind w:firstLine="0"/>
        <w:rPr>
          <w:rFonts w:asciiTheme="majorBidi" w:hAnsiTheme="majorBidi" w:cstheme="majorBidi"/>
          <w:color w:val="000000" w:themeColor="text1"/>
        </w:rPr>
      </w:pPr>
    </w:p>
    <w:tbl>
      <w:tblPr>
        <w:tblStyle w:val="TableGrid"/>
        <w:tblpPr w:leftFromText="180" w:rightFromText="180" w:vertAnchor="text" w:horzAnchor="margin" w:tblpY="3492"/>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36"/>
        <w:gridCol w:w="4441"/>
      </w:tblGrid>
      <w:tr w:rsidR="008F7C69" w14:paraId="26F8D8A4" w14:textId="77777777" w:rsidTr="003B6FD3">
        <w:trPr>
          <w:trHeight w:val="1265"/>
        </w:trPr>
        <w:tc>
          <w:tcPr>
            <w:tcW w:w="4395" w:type="dxa"/>
            <w:tcBorders>
              <w:top w:val="single" w:sz="4" w:space="0" w:color="auto"/>
              <w:right w:val="nil"/>
            </w:tcBorders>
            <w:shd w:val="clear" w:color="auto" w:fill="F2F2F2" w:themeFill="background1" w:themeFillShade="F2"/>
          </w:tcPr>
          <w:p w14:paraId="3C1E6D21" w14:textId="77777777" w:rsidR="008F7C69" w:rsidRPr="008F7C69" w:rsidRDefault="008F7C69" w:rsidP="008F7C69">
            <w:pPr>
              <w:ind w:firstLine="0"/>
              <w:rPr>
                <w:rFonts w:asciiTheme="majorBidi" w:hAnsiTheme="majorBidi" w:cstheme="majorBidi"/>
                <w:b/>
                <w:sz w:val="2"/>
                <w:szCs w:val="2"/>
              </w:rPr>
            </w:pPr>
          </w:p>
          <w:p w14:paraId="764D5949" w14:textId="77777777" w:rsidR="008F7C69" w:rsidRPr="008F7C69" w:rsidRDefault="008F7C69" w:rsidP="008F7C69">
            <w:pPr>
              <w:ind w:firstLine="0"/>
              <w:rPr>
                <w:rFonts w:asciiTheme="majorBidi" w:hAnsiTheme="majorBidi" w:cstheme="majorBidi"/>
                <w:b/>
                <w:sz w:val="16"/>
                <w:szCs w:val="16"/>
              </w:rPr>
            </w:pPr>
            <w:r w:rsidRPr="008A7C90">
              <w:rPr>
                <w:rFonts w:asciiTheme="majorBidi" w:hAnsiTheme="majorBidi" w:cstheme="majorBidi"/>
                <w:b/>
                <w:sz w:val="16"/>
                <w:szCs w:val="16"/>
              </w:rPr>
              <w:t>Corresponding author</w:t>
            </w:r>
            <w:r w:rsidRPr="008A7C90">
              <w:rPr>
                <w:rFonts w:asciiTheme="majorBidi" w:hAnsiTheme="majorBidi" w:cstheme="majorBidi"/>
                <w:b/>
                <w:bCs/>
                <w:sz w:val="16"/>
                <w:szCs w:val="16"/>
              </w:rPr>
              <w:t>:</w:t>
            </w:r>
            <w:r w:rsidRPr="008A7C90">
              <w:rPr>
                <w:rFonts w:asciiTheme="majorBidi" w:hAnsiTheme="majorBidi" w:cstheme="majorBidi"/>
                <w:sz w:val="16"/>
                <w:szCs w:val="16"/>
              </w:rPr>
              <w:t xml:space="preserve"> </w:t>
            </w:r>
            <w:r w:rsidRPr="008A7C90">
              <w:rPr>
                <w:rFonts w:asciiTheme="majorBidi" w:hAnsiTheme="majorBidi" w:cstheme="majorBidi"/>
                <w:bCs/>
                <w:sz w:val="16"/>
                <w:szCs w:val="16"/>
              </w:rPr>
              <w:t xml:space="preserve">Ehsan </w:t>
            </w:r>
            <w:proofErr w:type="spellStart"/>
            <w:r w:rsidRPr="008A7C90">
              <w:rPr>
                <w:rFonts w:asciiTheme="majorBidi" w:hAnsiTheme="majorBidi" w:cstheme="majorBidi"/>
                <w:bCs/>
                <w:sz w:val="16"/>
                <w:szCs w:val="16"/>
              </w:rPr>
              <w:t>Keshavarzian</w:t>
            </w:r>
            <w:proofErr w:type="spellEnd"/>
          </w:p>
          <w:p w14:paraId="10673E9B" w14:textId="77777777" w:rsidR="008F7C69" w:rsidRPr="008A7C90" w:rsidRDefault="008F7C69" w:rsidP="008F7C69">
            <w:pPr>
              <w:ind w:firstLine="0"/>
              <w:rPr>
                <w:rFonts w:asciiTheme="majorBidi" w:hAnsiTheme="majorBidi" w:cstheme="majorBidi"/>
                <w:sz w:val="16"/>
                <w:szCs w:val="16"/>
              </w:rPr>
            </w:pPr>
            <w:r w:rsidRPr="008A7C90">
              <w:rPr>
                <w:rFonts w:asciiTheme="majorBidi" w:hAnsiTheme="majorBidi" w:cstheme="majorBidi"/>
                <w:b/>
                <w:sz w:val="16"/>
                <w:szCs w:val="16"/>
              </w:rPr>
              <w:t>Address</w:t>
            </w:r>
            <w:r w:rsidRPr="008A7C90">
              <w:rPr>
                <w:rFonts w:asciiTheme="majorBidi" w:hAnsiTheme="majorBidi" w:cstheme="majorBidi"/>
                <w:b/>
                <w:sz w:val="16"/>
                <w:szCs w:val="16"/>
                <w:rtl/>
              </w:rPr>
              <w:t>:</w:t>
            </w:r>
            <w:r w:rsidRPr="008A7C90">
              <w:rPr>
                <w:rFonts w:asciiTheme="majorBidi" w:hAnsiTheme="majorBidi" w:cstheme="majorBidi"/>
                <w:sz w:val="16"/>
                <w:szCs w:val="16"/>
              </w:rPr>
              <w:t xml:space="preserve"> Karun Health Center, Ahvaz </w:t>
            </w:r>
            <w:proofErr w:type="spellStart"/>
            <w:r w:rsidRPr="008A7C90">
              <w:rPr>
                <w:rFonts w:asciiTheme="majorBidi" w:hAnsiTheme="majorBidi" w:cstheme="majorBidi"/>
                <w:sz w:val="16"/>
                <w:szCs w:val="16"/>
              </w:rPr>
              <w:t>Jundishapur</w:t>
            </w:r>
            <w:proofErr w:type="spellEnd"/>
            <w:r w:rsidRPr="008A7C90">
              <w:rPr>
                <w:rFonts w:asciiTheme="majorBidi" w:hAnsiTheme="majorBidi" w:cstheme="majorBidi"/>
                <w:sz w:val="16"/>
                <w:szCs w:val="16"/>
              </w:rPr>
              <w:t xml:space="preserve"> University of Medical Sciences, Ahvaz, Iran.</w:t>
            </w:r>
          </w:p>
          <w:p w14:paraId="63D9882A" w14:textId="77777777" w:rsidR="008F7C69" w:rsidRPr="008A7C90" w:rsidRDefault="008F7C69" w:rsidP="008A7C90">
            <w:pPr>
              <w:autoSpaceDE w:val="0"/>
              <w:autoSpaceDN w:val="0"/>
              <w:adjustRightInd w:val="0"/>
              <w:ind w:firstLine="0"/>
              <w:rPr>
                <w:rFonts w:asciiTheme="majorBidi" w:hAnsiTheme="majorBidi" w:cstheme="majorBidi"/>
                <w:bCs/>
                <w:sz w:val="16"/>
                <w:szCs w:val="16"/>
                <w:rtl/>
                <w:lang w:bidi="fa-IR"/>
              </w:rPr>
            </w:pPr>
            <w:r w:rsidRPr="008A7C90">
              <w:rPr>
                <w:rFonts w:asciiTheme="majorBidi" w:hAnsiTheme="majorBidi" w:cstheme="majorBidi"/>
                <w:b/>
                <w:sz w:val="16"/>
                <w:szCs w:val="16"/>
              </w:rPr>
              <w:t>E-mail:</w:t>
            </w:r>
            <w:r w:rsidRPr="008A7C90">
              <w:rPr>
                <w:rFonts w:asciiTheme="majorBidi" w:hAnsiTheme="majorBidi" w:cstheme="majorBidi"/>
                <w:sz w:val="16"/>
                <w:szCs w:val="16"/>
              </w:rPr>
              <w:t xml:space="preserve"> </w:t>
            </w:r>
            <w:r w:rsidRPr="008A7C90">
              <w:rPr>
                <w:rFonts w:asciiTheme="majorBidi" w:hAnsiTheme="majorBidi" w:cstheme="majorBidi"/>
                <w:sz w:val="16"/>
                <w:szCs w:val="16"/>
              </w:rPr>
              <w:sym w:font="Wingdings" w:char="F02A"/>
            </w:r>
            <w:r w:rsidRPr="008A7C90">
              <w:rPr>
                <w:rFonts w:asciiTheme="majorBidi" w:hAnsiTheme="majorBidi" w:cstheme="majorBidi"/>
                <w:sz w:val="16"/>
                <w:szCs w:val="16"/>
              </w:rPr>
              <w:t xml:space="preserve"> ehsan.health@gmail.com</w:t>
            </w:r>
          </w:p>
          <w:p w14:paraId="2B499484" w14:textId="77777777" w:rsidR="008F7C69" w:rsidRDefault="008F7C69" w:rsidP="008A7C90">
            <w:pPr>
              <w:ind w:firstLine="0"/>
              <w:contextualSpacing/>
              <w:rPr>
                <w:rFonts w:asciiTheme="majorBidi" w:eastAsiaTheme="minorEastAsia" w:hAnsiTheme="majorBidi" w:cstheme="majorBidi"/>
                <w:sz w:val="24"/>
                <w:szCs w:val="24"/>
              </w:rPr>
            </w:pPr>
            <w:r w:rsidRPr="008A7C90">
              <w:rPr>
                <w:rFonts w:asciiTheme="majorBidi" w:hAnsiTheme="majorBidi" w:cstheme="majorBidi"/>
                <w:b/>
                <w:sz w:val="16"/>
                <w:szCs w:val="16"/>
              </w:rPr>
              <w:t>Received:</w:t>
            </w:r>
            <w:r w:rsidRPr="008A7C90">
              <w:rPr>
                <w:rFonts w:asciiTheme="majorBidi" w:hAnsiTheme="majorBidi" w:cstheme="majorBidi"/>
                <w:sz w:val="16"/>
                <w:szCs w:val="16"/>
              </w:rPr>
              <w:t xml:space="preserve"> </w:t>
            </w:r>
            <w:r w:rsidRPr="008A7C90">
              <w:rPr>
                <w:rFonts w:asciiTheme="majorBidi" w:hAnsiTheme="majorBidi" w:cstheme="majorBidi"/>
                <w:sz w:val="16"/>
                <w:szCs w:val="16"/>
                <w:highlight w:val="yellow"/>
                <w:shd w:val="clear" w:color="auto" w:fill="92D050"/>
              </w:rPr>
              <w:t>xx</w:t>
            </w:r>
            <w:r w:rsidRPr="008A7C90">
              <w:rPr>
                <w:rFonts w:asciiTheme="majorBidi" w:hAnsiTheme="majorBidi" w:cstheme="majorBidi"/>
                <w:sz w:val="16"/>
                <w:szCs w:val="16"/>
                <w:highlight w:val="yellow"/>
                <w:shd w:val="clear" w:color="auto" w:fill="92D050"/>
                <w:rtl/>
              </w:rPr>
              <w:t xml:space="preserve"> </w:t>
            </w:r>
            <w:r w:rsidRPr="008A7C90">
              <w:rPr>
                <w:rFonts w:asciiTheme="majorBidi" w:hAnsiTheme="majorBidi" w:cstheme="majorBidi"/>
                <w:sz w:val="16"/>
                <w:szCs w:val="16"/>
                <w:highlight w:val="yellow"/>
                <w:shd w:val="clear" w:color="auto" w:fill="92D050"/>
              </w:rPr>
              <w:t xml:space="preserve"> Month 2023</w:t>
            </w:r>
            <w:r w:rsidRPr="008A7C90">
              <w:rPr>
                <w:rFonts w:asciiTheme="majorBidi" w:hAnsiTheme="majorBidi" w:cstheme="majorBidi"/>
                <w:sz w:val="16"/>
                <w:szCs w:val="16"/>
              </w:rPr>
              <w:t xml:space="preserve">; </w:t>
            </w:r>
            <w:r w:rsidRPr="008A7C90">
              <w:rPr>
                <w:rFonts w:asciiTheme="majorBidi" w:hAnsiTheme="majorBidi" w:cstheme="majorBidi"/>
                <w:b/>
                <w:sz w:val="16"/>
                <w:szCs w:val="16"/>
              </w:rPr>
              <w:t>Revised:</w:t>
            </w:r>
            <w:r w:rsidRPr="008A7C90">
              <w:rPr>
                <w:rFonts w:asciiTheme="majorBidi" w:hAnsiTheme="majorBidi" w:cstheme="majorBidi"/>
                <w:sz w:val="16"/>
                <w:szCs w:val="16"/>
              </w:rPr>
              <w:t xml:space="preserve"> </w:t>
            </w:r>
            <w:r w:rsidRPr="008A7C90">
              <w:rPr>
                <w:rFonts w:asciiTheme="majorBidi" w:hAnsiTheme="majorBidi" w:cstheme="majorBidi"/>
                <w:sz w:val="16"/>
                <w:szCs w:val="16"/>
                <w:highlight w:val="yellow"/>
              </w:rPr>
              <w:t>x</w:t>
            </w:r>
            <w:r w:rsidRPr="008A7C90">
              <w:rPr>
                <w:rFonts w:asciiTheme="majorBidi" w:hAnsiTheme="majorBidi" w:cstheme="majorBidi"/>
                <w:sz w:val="16"/>
                <w:szCs w:val="16"/>
                <w:highlight w:val="yellow"/>
                <w:shd w:val="clear" w:color="auto" w:fill="92D050"/>
              </w:rPr>
              <w:t xml:space="preserve">x Month </w:t>
            </w:r>
            <w:r w:rsidRPr="008A7C90">
              <w:rPr>
                <w:rFonts w:asciiTheme="majorBidi" w:hAnsiTheme="majorBidi" w:cstheme="majorBidi"/>
                <w:sz w:val="16"/>
                <w:szCs w:val="16"/>
                <w:highlight w:val="yellow"/>
              </w:rPr>
              <w:t>202</w:t>
            </w:r>
            <w:r w:rsidRPr="008A7C90">
              <w:rPr>
                <w:rFonts w:asciiTheme="majorBidi" w:hAnsiTheme="majorBidi" w:cstheme="majorBidi"/>
                <w:sz w:val="16"/>
                <w:szCs w:val="16"/>
                <w:highlight w:val="yellow"/>
                <w:shd w:val="clear" w:color="auto" w:fill="92D050"/>
              </w:rPr>
              <w:t>3</w:t>
            </w:r>
            <w:r w:rsidRPr="008A7C90">
              <w:rPr>
                <w:rFonts w:asciiTheme="majorBidi" w:hAnsiTheme="majorBidi" w:cstheme="majorBidi"/>
                <w:sz w:val="16"/>
                <w:szCs w:val="16"/>
              </w:rPr>
              <w:t xml:space="preserve">; </w:t>
            </w:r>
            <w:r w:rsidRPr="008A7C90">
              <w:rPr>
                <w:rFonts w:asciiTheme="majorBidi" w:hAnsiTheme="majorBidi" w:cstheme="majorBidi"/>
                <w:b/>
                <w:sz w:val="16"/>
                <w:szCs w:val="16"/>
              </w:rPr>
              <w:t>Accepted:</w:t>
            </w:r>
            <w:r w:rsidRPr="008A7C90">
              <w:rPr>
                <w:rFonts w:asciiTheme="majorBidi" w:hAnsiTheme="majorBidi" w:cstheme="majorBidi"/>
                <w:sz w:val="16"/>
                <w:szCs w:val="16"/>
              </w:rPr>
              <w:t xml:space="preserve"> </w:t>
            </w:r>
            <w:r w:rsidRPr="008A7C90">
              <w:rPr>
                <w:rFonts w:asciiTheme="majorBidi" w:hAnsiTheme="majorBidi" w:cstheme="majorBidi"/>
                <w:sz w:val="16"/>
                <w:szCs w:val="16"/>
                <w:highlight w:val="yellow"/>
              </w:rPr>
              <w:t>xx  Month</w:t>
            </w:r>
            <w:r w:rsidRPr="008A7C90">
              <w:rPr>
                <w:rFonts w:asciiTheme="majorBidi" w:hAnsiTheme="majorBidi" w:cstheme="majorBidi"/>
                <w:sz w:val="16"/>
                <w:szCs w:val="16"/>
                <w:highlight w:val="yellow"/>
                <w:shd w:val="clear" w:color="auto" w:fill="92D050"/>
              </w:rPr>
              <w:t xml:space="preserve"> 2023</w:t>
            </w:r>
          </w:p>
        </w:tc>
        <w:tc>
          <w:tcPr>
            <w:tcW w:w="236" w:type="dxa"/>
            <w:tcBorders>
              <w:top w:val="nil"/>
              <w:left w:val="nil"/>
              <w:right w:val="nil"/>
            </w:tcBorders>
            <w:shd w:val="clear" w:color="auto" w:fill="FFFFFF" w:themeFill="background1"/>
          </w:tcPr>
          <w:p w14:paraId="40D35CF3" w14:textId="77777777" w:rsidR="008F7C69" w:rsidRPr="008F7C69" w:rsidRDefault="008F7C69" w:rsidP="008A7C90">
            <w:pPr>
              <w:ind w:firstLine="0"/>
              <w:contextualSpacing/>
              <w:rPr>
                <w:rFonts w:asciiTheme="majorBidi" w:hAnsiTheme="majorBidi" w:cstheme="majorBidi"/>
                <w:b/>
                <w:color w:val="000000" w:themeColor="text1"/>
                <w:sz w:val="2"/>
                <w:szCs w:val="2"/>
              </w:rPr>
            </w:pPr>
          </w:p>
        </w:tc>
        <w:tc>
          <w:tcPr>
            <w:tcW w:w="4441" w:type="dxa"/>
            <w:tcBorders>
              <w:top w:val="single" w:sz="4" w:space="0" w:color="auto"/>
              <w:left w:val="nil"/>
            </w:tcBorders>
            <w:shd w:val="clear" w:color="auto" w:fill="E2EFD9" w:themeFill="accent6" w:themeFillTint="33"/>
          </w:tcPr>
          <w:p w14:paraId="36B24F72" w14:textId="6982B7DF" w:rsidR="00D81B5D" w:rsidRPr="008F7C69" w:rsidRDefault="00D81B5D" w:rsidP="008A7C90">
            <w:pPr>
              <w:ind w:firstLine="0"/>
              <w:contextualSpacing/>
              <w:rPr>
                <w:rFonts w:asciiTheme="majorBidi" w:hAnsiTheme="majorBidi" w:cstheme="majorBidi"/>
                <w:b/>
                <w:color w:val="000000" w:themeColor="text1"/>
                <w:sz w:val="6"/>
                <w:szCs w:val="6"/>
              </w:rPr>
            </w:pPr>
          </w:p>
          <w:p w14:paraId="62F68929" w14:textId="518C251B" w:rsidR="008F7C69" w:rsidRPr="008A7C90" w:rsidRDefault="00996A49" w:rsidP="008A7C90">
            <w:pPr>
              <w:ind w:firstLine="0"/>
              <w:contextualSpacing/>
              <w:rPr>
                <w:rFonts w:asciiTheme="majorBidi" w:eastAsiaTheme="minorEastAsia" w:hAnsiTheme="majorBidi" w:cstheme="majorBidi"/>
                <w:sz w:val="16"/>
                <w:szCs w:val="16"/>
              </w:rPr>
            </w:pPr>
            <w:r w:rsidRPr="008A7C90">
              <w:rPr>
                <w:rFonts w:asciiTheme="majorBidi" w:hAnsiTheme="majorBidi" w:cstheme="majorBidi"/>
                <w:b/>
                <w:color w:val="000000" w:themeColor="text1"/>
                <w:sz w:val="16"/>
                <w:szCs w:val="16"/>
              </w:rPr>
              <w:t>How to Cite This Article</w:t>
            </w:r>
            <w:r w:rsidR="008F7C69" w:rsidRPr="008A7C90">
              <w:rPr>
                <w:rFonts w:asciiTheme="majorBidi" w:hAnsiTheme="majorBidi" w:cstheme="majorBidi"/>
                <w:b/>
                <w:color w:val="000000" w:themeColor="text1"/>
                <w:sz w:val="16"/>
                <w:szCs w:val="16"/>
              </w:rPr>
              <w:t xml:space="preserve">: </w:t>
            </w:r>
            <w:proofErr w:type="spellStart"/>
            <w:r w:rsidR="008F7C69" w:rsidRPr="008A7C90">
              <w:rPr>
                <w:rFonts w:asciiTheme="majorBidi" w:eastAsia="SimSun" w:hAnsiTheme="majorBidi" w:cstheme="majorBidi"/>
                <w:color w:val="000000" w:themeColor="text1"/>
                <w:spacing w:val="-3"/>
                <w:sz w:val="16"/>
                <w:szCs w:val="16"/>
                <w:lang w:bidi="en-GB"/>
              </w:rPr>
              <w:t>Keshavarzian</w:t>
            </w:r>
            <w:proofErr w:type="spellEnd"/>
            <w:r w:rsidR="008F7C69" w:rsidRPr="008A7C90">
              <w:rPr>
                <w:rFonts w:asciiTheme="majorBidi" w:eastAsia="SimSun" w:hAnsiTheme="majorBidi" w:cstheme="majorBidi"/>
                <w:color w:val="000000" w:themeColor="text1"/>
                <w:spacing w:val="-3"/>
                <w:sz w:val="16"/>
                <w:szCs w:val="16"/>
                <w:lang w:bidi="en-GB"/>
              </w:rPr>
              <w:t xml:space="preserve"> E, </w:t>
            </w:r>
            <w:proofErr w:type="spellStart"/>
            <w:r w:rsidR="008F7C69" w:rsidRPr="008A7C90">
              <w:rPr>
                <w:rFonts w:asciiTheme="majorBidi" w:eastAsia="SimSun" w:hAnsiTheme="majorBidi" w:cstheme="majorBidi"/>
                <w:color w:val="000000" w:themeColor="text1"/>
                <w:spacing w:val="-3"/>
                <w:sz w:val="16"/>
                <w:szCs w:val="16"/>
                <w:lang w:bidi="en-GB"/>
              </w:rPr>
              <w:t>Fayazi</w:t>
            </w:r>
            <w:proofErr w:type="spellEnd"/>
            <w:r w:rsidR="008F7C69" w:rsidRPr="008A7C90">
              <w:rPr>
                <w:rFonts w:asciiTheme="majorBidi" w:eastAsia="SimSun" w:hAnsiTheme="majorBidi" w:cstheme="majorBidi"/>
                <w:color w:val="000000" w:themeColor="text1"/>
                <w:spacing w:val="-3"/>
                <w:sz w:val="16"/>
                <w:szCs w:val="16"/>
                <w:lang w:bidi="en-GB"/>
              </w:rPr>
              <w:t xml:space="preserve"> F, </w:t>
            </w:r>
            <w:proofErr w:type="spellStart"/>
            <w:r w:rsidR="008F7C69" w:rsidRPr="008A7C90">
              <w:rPr>
                <w:rFonts w:asciiTheme="majorBidi" w:eastAsia="SimSun" w:hAnsiTheme="majorBidi" w:cstheme="majorBidi"/>
                <w:color w:val="000000" w:themeColor="text1"/>
                <w:spacing w:val="-3"/>
                <w:sz w:val="16"/>
                <w:szCs w:val="16"/>
                <w:lang w:bidi="en-GB"/>
              </w:rPr>
              <w:t>Salehi</w:t>
            </w:r>
            <w:proofErr w:type="spellEnd"/>
            <w:r w:rsidR="008F7C69" w:rsidRPr="008A7C90">
              <w:rPr>
                <w:rFonts w:asciiTheme="majorBidi" w:eastAsia="SimSun" w:hAnsiTheme="majorBidi" w:cstheme="majorBidi"/>
                <w:color w:val="000000" w:themeColor="text1"/>
                <w:spacing w:val="-3"/>
                <w:sz w:val="16"/>
                <w:szCs w:val="16"/>
                <w:lang w:bidi="en-GB"/>
              </w:rPr>
              <w:t xml:space="preserve"> </w:t>
            </w:r>
            <w:proofErr w:type="spellStart"/>
            <w:r w:rsidR="008F7C69" w:rsidRPr="008A7C90">
              <w:rPr>
                <w:rFonts w:asciiTheme="majorBidi" w:eastAsia="SimSun" w:hAnsiTheme="majorBidi" w:cstheme="majorBidi"/>
                <w:color w:val="000000" w:themeColor="text1"/>
                <w:spacing w:val="-3"/>
                <w:sz w:val="16"/>
                <w:szCs w:val="16"/>
                <w:lang w:bidi="en-GB"/>
              </w:rPr>
              <w:t>Morkani</w:t>
            </w:r>
            <w:proofErr w:type="spellEnd"/>
            <w:r w:rsidR="008F7C69" w:rsidRPr="008A7C90">
              <w:rPr>
                <w:rFonts w:asciiTheme="majorBidi" w:eastAsia="SimSun" w:hAnsiTheme="majorBidi" w:cstheme="majorBidi"/>
                <w:color w:val="000000" w:themeColor="text1"/>
                <w:spacing w:val="-3"/>
                <w:sz w:val="16"/>
                <w:szCs w:val="16"/>
                <w:lang w:bidi="en-GB"/>
              </w:rPr>
              <w:t xml:space="preserve"> M. Investigating Factors Related to Hepatitis </w:t>
            </w:r>
            <w:proofErr w:type="gramStart"/>
            <w:r w:rsidR="008F7C69" w:rsidRPr="008A7C90">
              <w:rPr>
                <w:rFonts w:asciiTheme="majorBidi" w:eastAsia="SimSun" w:hAnsiTheme="majorBidi" w:cstheme="majorBidi"/>
                <w:color w:val="000000" w:themeColor="text1"/>
                <w:spacing w:val="-3"/>
                <w:sz w:val="16"/>
                <w:szCs w:val="16"/>
                <w:lang w:bidi="en-GB"/>
              </w:rPr>
              <w:t>A</w:t>
            </w:r>
            <w:proofErr w:type="gramEnd"/>
            <w:r w:rsidR="008F7C69" w:rsidRPr="008A7C90">
              <w:rPr>
                <w:rFonts w:asciiTheme="majorBidi" w:eastAsia="SimSun" w:hAnsiTheme="majorBidi" w:cstheme="majorBidi"/>
                <w:color w:val="000000" w:themeColor="text1"/>
                <w:spacing w:val="-3"/>
                <w:sz w:val="16"/>
                <w:szCs w:val="16"/>
                <w:lang w:bidi="en-GB"/>
              </w:rPr>
              <w:t xml:space="preserve"> Outbreak in Ismailia Village, Karun City, in 2019. </w:t>
            </w:r>
            <w:r w:rsidR="008F7C69">
              <w:t xml:space="preserve"> </w:t>
            </w:r>
            <w:r w:rsidR="008F7C69">
              <w:rPr>
                <w:rFonts w:asciiTheme="majorBidi" w:eastAsia="SimSun" w:hAnsiTheme="majorBidi" w:cstheme="majorBidi"/>
                <w:color w:val="000000" w:themeColor="text1"/>
                <w:spacing w:val="-3"/>
                <w:sz w:val="16"/>
                <w:szCs w:val="16"/>
                <w:lang w:bidi="en-GB"/>
              </w:rPr>
              <w:t>J</w:t>
            </w:r>
            <w:r w:rsidR="008F7C69" w:rsidRPr="008A7C90">
              <w:rPr>
                <w:rFonts w:asciiTheme="majorBidi" w:eastAsia="SimSun" w:hAnsiTheme="majorBidi" w:cstheme="majorBidi"/>
                <w:color w:val="000000" w:themeColor="text1"/>
                <w:spacing w:val="-3"/>
                <w:sz w:val="16"/>
                <w:szCs w:val="16"/>
                <w:lang w:bidi="en-GB"/>
              </w:rPr>
              <w:t xml:space="preserve"> </w:t>
            </w:r>
            <w:proofErr w:type="spellStart"/>
            <w:r w:rsidR="008F7C69" w:rsidRPr="008A7C90">
              <w:rPr>
                <w:rFonts w:asciiTheme="majorBidi" w:eastAsia="SimSun" w:hAnsiTheme="majorBidi" w:cstheme="majorBidi"/>
                <w:color w:val="000000" w:themeColor="text1"/>
                <w:spacing w:val="-3"/>
                <w:sz w:val="16"/>
                <w:szCs w:val="16"/>
                <w:lang w:bidi="en-GB"/>
              </w:rPr>
              <w:t>In</w:t>
            </w:r>
            <w:r w:rsidR="008F7C69">
              <w:rPr>
                <w:rFonts w:asciiTheme="majorBidi" w:eastAsia="SimSun" w:hAnsiTheme="majorBidi" w:cstheme="majorBidi"/>
                <w:color w:val="000000" w:themeColor="text1"/>
                <w:spacing w:val="-3"/>
                <w:sz w:val="16"/>
                <w:szCs w:val="16"/>
                <w:lang w:bidi="en-GB"/>
              </w:rPr>
              <w:t>tegr</w:t>
            </w:r>
            <w:proofErr w:type="spellEnd"/>
            <w:r w:rsidR="008F7C69">
              <w:rPr>
                <w:rFonts w:asciiTheme="majorBidi" w:eastAsia="SimSun" w:hAnsiTheme="majorBidi" w:cstheme="majorBidi"/>
                <w:color w:val="000000" w:themeColor="text1"/>
                <w:spacing w:val="-3"/>
                <w:sz w:val="16"/>
                <w:szCs w:val="16"/>
                <w:lang w:bidi="en-GB"/>
              </w:rPr>
              <w:t xml:space="preserve"> </w:t>
            </w:r>
            <w:proofErr w:type="spellStart"/>
            <w:r w:rsidR="008F7C69">
              <w:rPr>
                <w:rFonts w:asciiTheme="majorBidi" w:eastAsia="SimSun" w:hAnsiTheme="majorBidi" w:cstheme="majorBidi"/>
                <w:color w:val="000000" w:themeColor="text1"/>
                <w:spacing w:val="-3"/>
                <w:sz w:val="16"/>
                <w:szCs w:val="16"/>
                <w:lang w:bidi="en-GB"/>
              </w:rPr>
              <w:t>Nurs</w:t>
            </w:r>
            <w:proofErr w:type="spellEnd"/>
            <w:r w:rsidR="008F7C69">
              <w:rPr>
                <w:rFonts w:asciiTheme="majorBidi" w:eastAsia="SimSun" w:hAnsiTheme="majorBidi" w:cstheme="majorBidi"/>
                <w:color w:val="000000" w:themeColor="text1"/>
                <w:spacing w:val="-3"/>
                <w:sz w:val="16"/>
                <w:szCs w:val="16"/>
                <w:lang w:bidi="en-GB"/>
              </w:rPr>
              <w:t xml:space="preserve"> </w:t>
            </w:r>
            <w:proofErr w:type="spellStart"/>
            <w:r w:rsidR="008F7C69">
              <w:rPr>
                <w:rFonts w:asciiTheme="majorBidi" w:eastAsia="SimSun" w:hAnsiTheme="majorBidi" w:cstheme="majorBidi"/>
                <w:color w:val="000000" w:themeColor="text1"/>
                <w:spacing w:val="-3"/>
                <w:sz w:val="16"/>
                <w:szCs w:val="16"/>
                <w:lang w:bidi="en-GB"/>
              </w:rPr>
              <w:t>Palliat</w:t>
            </w:r>
            <w:proofErr w:type="spellEnd"/>
            <w:r w:rsidR="008F7C69" w:rsidRPr="008A7C90">
              <w:rPr>
                <w:rFonts w:asciiTheme="majorBidi" w:eastAsia="SimSun" w:hAnsiTheme="majorBidi" w:cstheme="majorBidi"/>
                <w:color w:val="000000" w:themeColor="text1"/>
                <w:spacing w:val="-3"/>
                <w:sz w:val="16"/>
                <w:szCs w:val="16"/>
                <w:lang w:bidi="en-GB"/>
              </w:rPr>
              <w:t xml:space="preserve"> Care. </w:t>
            </w:r>
            <w:r w:rsidR="008F7C69" w:rsidRPr="008A7C90">
              <w:rPr>
                <w:rFonts w:asciiTheme="majorBidi" w:eastAsia="SimSun" w:hAnsiTheme="majorBidi" w:cstheme="majorBidi"/>
                <w:color w:val="000000" w:themeColor="text1"/>
                <w:spacing w:val="-3"/>
                <w:sz w:val="16"/>
                <w:szCs w:val="16"/>
                <w:highlight w:val="yellow"/>
                <w:lang w:bidi="en-GB"/>
              </w:rPr>
              <w:t>2023;</w:t>
            </w:r>
            <w:r w:rsidR="008F7C69">
              <w:rPr>
                <w:rFonts w:asciiTheme="majorBidi" w:eastAsia="SimSun" w:hAnsiTheme="majorBidi" w:cstheme="majorBidi"/>
                <w:color w:val="000000" w:themeColor="text1"/>
                <w:spacing w:val="-3"/>
                <w:sz w:val="16"/>
                <w:szCs w:val="16"/>
                <w:highlight w:val="yellow"/>
                <w:lang w:bidi="en-GB"/>
              </w:rPr>
              <w:t>1</w:t>
            </w:r>
            <w:r w:rsidR="008F7C69" w:rsidRPr="008A7C90">
              <w:rPr>
                <w:rFonts w:asciiTheme="majorBidi" w:eastAsia="SimSun" w:hAnsiTheme="majorBidi" w:cstheme="majorBidi"/>
                <w:color w:val="000000" w:themeColor="text1"/>
                <w:spacing w:val="-3"/>
                <w:sz w:val="16"/>
                <w:szCs w:val="16"/>
                <w:highlight w:val="yellow"/>
                <w:lang w:bidi="en-GB"/>
              </w:rPr>
              <w:t>(x</w:t>
            </w:r>
            <w:proofErr w:type="gramStart"/>
            <w:r w:rsidR="008F7C69" w:rsidRPr="008A7C90">
              <w:rPr>
                <w:rFonts w:asciiTheme="majorBidi" w:eastAsia="SimSun" w:hAnsiTheme="majorBidi" w:cstheme="majorBidi"/>
                <w:color w:val="000000" w:themeColor="text1"/>
                <w:spacing w:val="-3"/>
                <w:sz w:val="16"/>
                <w:szCs w:val="16"/>
                <w:highlight w:val="yellow"/>
                <w:lang w:bidi="en-GB"/>
              </w:rPr>
              <w:t>):xx</w:t>
            </w:r>
            <w:proofErr w:type="gramEnd"/>
            <w:r w:rsidR="008F7C69" w:rsidRPr="008A7C90">
              <w:rPr>
                <w:rFonts w:asciiTheme="majorBidi" w:eastAsia="SimSun" w:hAnsiTheme="majorBidi" w:cstheme="majorBidi"/>
                <w:color w:val="000000" w:themeColor="text1"/>
                <w:spacing w:val="-3"/>
                <w:sz w:val="16"/>
                <w:szCs w:val="16"/>
                <w:highlight w:val="yellow"/>
                <w:lang w:bidi="en-GB"/>
              </w:rPr>
              <w:t>-xx</w:t>
            </w:r>
            <w:r w:rsidR="008F7C69" w:rsidRPr="008A7C90">
              <w:rPr>
                <w:rFonts w:asciiTheme="majorBidi" w:eastAsia="SimSun" w:hAnsiTheme="majorBidi" w:cstheme="majorBidi"/>
                <w:color w:val="000000" w:themeColor="text1"/>
                <w:spacing w:val="-3"/>
                <w:sz w:val="16"/>
                <w:szCs w:val="16"/>
                <w:lang w:bidi="en-GB"/>
              </w:rPr>
              <w:t xml:space="preserve">. </w:t>
            </w:r>
            <w:r w:rsidR="008F7C69" w:rsidRPr="008A7C90">
              <w:rPr>
                <w:rFonts w:asciiTheme="majorBidi" w:eastAsia="SimSun" w:hAnsiTheme="majorBidi" w:cstheme="majorBidi"/>
                <w:color w:val="000000" w:themeColor="text1"/>
                <w:spacing w:val="-3"/>
                <w:sz w:val="16"/>
                <w:szCs w:val="16"/>
                <w:highlight w:val="cyan"/>
                <w:lang w:bidi="en-GB"/>
              </w:rPr>
              <w:t>https://doi.org/xxxxxxxxxxxxxxxxxxx</w:t>
            </w:r>
          </w:p>
        </w:tc>
      </w:tr>
    </w:tbl>
    <w:p w14:paraId="339BD0E3" w14:textId="77777777" w:rsidR="00A50AD6" w:rsidRPr="00A50AD6" w:rsidRDefault="008F7C69" w:rsidP="00A50AD6">
      <w:pPr>
        <w:spacing w:after="240"/>
        <w:ind w:firstLine="0"/>
        <w:jc w:val="left"/>
        <w:rPr>
          <w:rFonts w:asciiTheme="majorBidi" w:eastAsiaTheme="minorEastAsia" w:hAnsiTheme="majorBidi" w:cstheme="majorBidi"/>
          <w:sz w:val="24"/>
          <w:szCs w:val="24"/>
        </w:rPr>
      </w:pPr>
      <w:r w:rsidRPr="008F7C69">
        <w:rPr>
          <w:rFonts w:asciiTheme="majorBidi" w:eastAsia="Arial" w:hAnsiTheme="majorBidi" w:cstheme="majorBidi"/>
          <w:b/>
          <w:bCs/>
          <w:color w:val="000000" w:themeColor="text1"/>
          <w:sz w:val="20"/>
          <w:szCs w:val="20"/>
        </w:rPr>
        <w:t>Introduction</w:t>
      </w:r>
    </w:p>
    <w:p w14:paraId="7BA96EFA" w14:textId="77777777" w:rsidR="00A50AD6" w:rsidRPr="00A50AD6" w:rsidRDefault="00A50AD6" w:rsidP="008F7C69">
      <w:pPr>
        <w:ind w:firstLine="0"/>
        <w:contextualSpacing/>
        <w:rPr>
          <w:rFonts w:asciiTheme="majorBidi" w:eastAsiaTheme="minorEastAsia" w:hAnsiTheme="majorBidi" w:cstheme="majorBidi"/>
          <w:sz w:val="20"/>
          <w:szCs w:val="20"/>
          <w:vertAlign w:val="superscript"/>
        </w:rPr>
      </w:pPr>
      <w:r w:rsidRPr="00A50AD6">
        <w:rPr>
          <w:rFonts w:asciiTheme="majorBidi" w:eastAsiaTheme="minorEastAsia" w:hAnsiTheme="majorBidi" w:cstheme="majorBidi"/>
          <w:sz w:val="20"/>
          <w:szCs w:val="20"/>
        </w:rPr>
        <w:t xml:space="preserve">The development of a new drug for the treatment of any disease takes years of collaborative research on the part of the pharmaceutical industry, academic interests, and government regulatory authorities [1]. Drug development involves precise testing and optimization of compounds to find the most effective drug [2-5]. This testing is done in vitro (in cells) and in vivo (in animals) to produce a drug that is safe, efficacious, and passes all the regulatory requirements. The new drugs, medicinal devices, and biological agents cannot enter the market without the review and approval of regulatory authorities. Each country has its own regulatory body like Central Drugs Standards and Control Organization (CDSCO) in India; Medical and Healthcare Products Regulatory Agency (MHRA) in the UK; Food and Drug Administration (FDA) in the USA; Union- European Medicines Agency (EMA) in European, </w:t>
      </w:r>
      <w:proofErr w:type="spellStart"/>
      <w:r w:rsidRPr="00A50AD6">
        <w:rPr>
          <w:rFonts w:asciiTheme="majorBidi" w:eastAsiaTheme="minorEastAsia" w:hAnsiTheme="majorBidi" w:cstheme="majorBidi"/>
          <w:sz w:val="20"/>
          <w:szCs w:val="20"/>
        </w:rPr>
        <w:t>etc</w:t>
      </w:r>
      <w:proofErr w:type="spellEnd"/>
      <w:r w:rsidRPr="00A50AD6">
        <w:rPr>
          <w:rFonts w:asciiTheme="majorBidi" w:eastAsiaTheme="minorEastAsia" w:hAnsiTheme="majorBidi" w:cstheme="majorBidi"/>
          <w:sz w:val="20"/>
          <w:szCs w:val="20"/>
        </w:rPr>
        <w:t xml:space="preserve"> that governs the approval process. The US system of new drug approval is the most rigorous all over the world.</w:t>
      </w:r>
    </w:p>
    <w:p w14:paraId="2E1356D8" w14:textId="77777777" w:rsidR="00A50AD6" w:rsidRPr="00A50AD6" w:rsidRDefault="00A50AD6" w:rsidP="00A50AD6">
      <w:pPr>
        <w:ind w:firstLine="0"/>
        <w:contextualSpacing/>
        <w:rPr>
          <w:rFonts w:asciiTheme="majorBidi" w:eastAsiaTheme="minorEastAsia" w:hAnsiTheme="majorBidi" w:cstheme="majorBidi"/>
          <w:sz w:val="20"/>
          <w:szCs w:val="20"/>
        </w:rPr>
      </w:pPr>
      <w:r w:rsidRPr="00A50AD6">
        <w:rPr>
          <w:rFonts w:asciiTheme="majorBidi" w:eastAsiaTheme="minorEastAsia" w:hAnsiTheme="majorBidi" w:cstheme="majorBidi"/>
          <w:sz w:val="20"/>
          <w:szCs w:val="20"/>
        </w:rPr>
        <w:t xml:space="preserve">The center for drug evaluation and research (CDER) is the FDA’s largest center whose responsibility is to ensure the efficacy and safety of drugs. Statistics indicate that out of 5000 compounds, which have been evaluated in pre-clinical testing, only five enter and evaluated in human clinical trials, and out of these five, only one drug is </w:t>
      </w:r>
      <w:r w:rsidRPr="00A50AD6">
        <w:rPr>
          <w:rFonts w:asciiTheme="majorBidi" w:eastAsiaTheme="minorEastAsia" w:hAnsiTheme="majorBidi" w:cstheme="majorBidi"/>
          <w:sz w:val="20"/>
          <w:szCs w:val="20"/>
        </w:rPr>
        <w:lastRenderedPageBreak/>
        <w:t>approved for human use. On average, it takes around $2-2.5 billion and a time of 12-15 years for a compound to pass from all stages of drug development and be an approved drug available in the market [7</w:t>
      </w:r>
      <w:r w:rsidRPr="00A50AD6">
        <w:rPr>
          <w:rFonts w:asciiTheme="majorBidi" w:eastAsiaTheme="minorEastAsia" w:hAnsiTheme="majorBidi" w:cstheme="majorBidi"/>
          <w:sz w:val="20"/>
          <w:szCs w:val="20"/>
          <w:shd w:val="clear" w:color="auto" w:fill="FFFFFF"/>
        </w:rPr>
        <w:t>].</w:t>
      </w:r>
    </w:p>
    <w:p w14:paraId="36F77735" w14:textId="77777777" w:rsidR="00A50AD6" w:rsidRPr="00A50AD6" w:rsidRDefault="00A50AD6" w:rsidP="00A50AD6">
      <w:pPr>
        <w:ind w:firstLine="0"/>
        <w:contextualSpacing/>
        <w:rPr>
          <w:rFonts w:asciiTheme="majorBidi" w:eastAsiaTheme="minorEastAsia" w:hAnsiTheme="majorBidi" w:cstheme="majorBidi"/>
          <w:sz w:val="20"/>
          <w:szCs w:val="20"/>
        </w:rPr>
      </w:pPr>
    </w:p>
    <w:p w14:paraId="4EA504D2" w14:textId="77777777" w:rsidR="00A50AD6" w:rsidRPr="00A50AD6" w:rsidRDefault="00A50AD6" w:rsidP="00A50AD6">
      <w:pPr>
        <w:ind w:firstLine="0"/>
        <w:jc w:val="left"/>
        <w:rPr>
          <w:rFonts w:asciiTheme="majorBidi" w:eastAsia="Arial" w:hAnsiTheme="majorBidi" w:cstheme="majorBidi"/>
          <w:i/>
          <w:iCs/>
          <w:color w:val="000000" w:themeColor="text1"/>
          <w:sz w:val="20"/>
          <w:szCs w:val="20"/>
        </w:rPr>
      </w:pPr>
      <w:r w:rsidRPr="00A50AD6">
        <w:rPr>
          <w:rFonts w:asciiTheme="majorBidi" w:eastAsia="Arial" w:hAnsiTheme="majorBidi" w:cstheme="majorBidi"/>
          <w:i/>
          <w:iCs/>
          <w:color w:val="000000" w:themeColor="text1"/>
          <w:sz w:val="20"/>
          <w:szCs w:val="20"/>
        </w:rPr>
        <w:t xml:space="preserve">Stages of Drug Development </w:t>
      </w:r>
    </w:p>
    <w:p w14:paraId="2BB6BA97" w14:textId="77777777" w:rsidR="00A50AD6" w:rsidRPr="00A50AD6" w:rsidRDefault="00A50AD6" w:rsidP="00A50AD6">
      <w:pPr>
        <w:ind w:firstLine="0"/>
        <w:contextualSpacing/>
        <w:rPr>
          <w:rFonts w:asciiTheme="majorBidi" w:eastAsiaTheme="minorEastAsia" w:hAnsiTheme="majorBidi" w:cstheme="majorBidi"/>
          <w:sz w:val="20"/>
          <w:szCs w:val="20"/>
        </w:rPr>
      </w:pPr>
      <w:r w:rsidRPr="00A50AD6">
        <w:rPr>
          <w:rFonts w:asciiTheme="majorBidi" w:eastAsiaTheme="minorEastAsia" w:hAnsiTheme="majorBidi" w:cstheme="majorBidi"/>
          <w:sz w:val="20"/>
          <w:szCs w:val="20"/>
        </w:rPr>
        <w:t>The complexity in drug development has increased manifolds over the past 40 years, requiring preclinical testing, Investigational New Drug (IND) applications, and completed clinical testing before marketing approval from the Food and Drug Administration (FDA). Generally, NDAs or biologics license applications (BLA) are reviewed comprehensively before approval, and then drug performance is resubmitted to regulatory agencies for post-marketing studies. The overarching goal is to bring more efficient and safer treatments to the patients as quickly as possible after a thorough medical evaluation.</w:t>
      </w:r>
      <w:r w:rsidRPr="00A50AD6">
        <w:rPr>
          <w:rFonts w:asciiTheme="majorBidi" w:eastAsiaTheme="minorEastAsia" w:hAnsiTheme="majorBidi" w:cstheme="majorBidi"/>
          <w:sz w:val="20"/>
          <w:szCs w:val="20"/>
          <w:vertAlign w:val="superscript"/>
        </w:rPr>
        <w:t xml:space="preserve"> </w:t>
      </w:r>
      <w:r w:rsidRPr="00A50AD6">
        <w:rPr>
          <w:rFonts w:asciiTheme="majorBidi" w:eastAsiaTheme="minorEastAsia" w:hAnsiTheme="majorBidi" w:cstheme="majorBidi"/>
          <w:sz w:val="20"/>
          <w:szCs w:val="20"/>
        </w:rPr>
        <w:t xml:space="preserve">There are different critical steps in the </w:t>
      </w:r>
      <w:hyperlink r:id="rId10" w:history="1">
        <w:r w:rsidRPr="00A50AD6">
          <w:rPr>
            <w:rFonts w:asciiTheme="majorBidi" w:eastAsiaTheme="minorEastAsia" w:hAnsiTheme="majorBidi" w:cstheme="majorBidi"/>
            <w:sz w:val="20"/>
            <w:szCs w:val="20"/>
          </w:rPr>
          <w:t>drug development process</w:t>
        </w:r>
      </w:hyperlink>
      <w:r w:rsidRPr="00A50AD6">
        <w:rPr>
          <w:rFonts w:asciiTheme="majorBidi" w:eastAsiaTheme="minorEastAsia" w:hAnsiTheme="majorBidi" w:cstheme="majorBidi"/>
          <w:sz w:val="20"/>
          <w:szCs w:val="20"/>
        </w:rPr>
        <w:t xml:space="preserve">, including many phases and stages within each of them </w:t>
      </w:r>
      <w:r w:rsidRPr="00A50AD6">
        <w:rPr>
          <w:rFonts w:asciiTheme="majorBidi" w:eastAsiaTheme="minorEastAsia" w:hAnsiTheme="majorBidi" w:cstheme="majorBidi"/>
          <w:b/>
          <w:bCs/>
          <w:sz w:val="20"/>
          <w:szCs w:val="20"/>
        </w:rPr>
        <w:t>(Figure 1, Table 1).</w:t>
      </w:r>
      <w:r w:rsidRPr="00A50AD6">
        <w:rPr>
          <w:rFonts w:asciiTheme="majorBidi" w:eastAsiaTheme="minorEastAsia" w:hAnsiTheme="majorBidi" w:cstheme="majorBidi"/>
          <w:sz w:val="20"/>
          <w:szCs w:val="20"/>
        </w:rPr>
        <w:t xml:space="preserve"> These various phases and stages to develop an in-depth understanding of the entire </w:t>
      </w:r>
      <w:proofErr w:type="gramStart"/>
      <w:r w:rsidRPr="00A50AD6">
        <w:rPr>
          <w:rFonts w:asciiTheme="majorBidi" w:eastAsiaTheme="minorEastAsia" w:hAnsiTheme="majorBidi" w:cstheme="majorBidi"/>
          <w:sz w:val="20"/>
          <w:szCs w:val="20"/>
        </w:rPr>
        <w:t>process.</w:t>
      </w:r>
      <w:r w:rsidRPr="00A50AD6">
        <w:rPr>
          <w:rFonts w:asciiTheme="majorBidi" w:eastAsiaTheme="minorEastAsia" w:hAnsiTheme="majorBidi" w:cstheme="majorBidi"/>
          <w:sz w:val="20"/>
          <w:szCs w:val="20"/>
          <w:vertAlign w:val="superscript"/>
        </w:rPr>
        <w:t>[</w:t>
      </w:r>
      <w:proofErr w:type="gramEnd"/>
      <w:r w:rsidRPr="00A50AD6">
        <w:rPr>
          <w:rFonts w:asciiTheme="majorBidi" w:eastAsiaTheme="minorEastAsia" w:hAnsiTheme="majorBidi" w:cstheme="majorBidi"/>
          <w:sz w:val="20"/>
          <w:szCs w:val="20"/>
          <w:vertAlign w:val="superscript"/>
        </w:rPr>
        <w:t>7-9</w:t>
      </w:r>
      <w:r w:rsidRPr="00A50AD6">
        <w:rPr>
          <w:rFonts w:asciiTheme="majorBidi" w:eastAsiaTheme="minorEastAsia" w:hAnsiTheme="majorBidi" w:cstheme="majorBidi"/>
          <w:sz w:val="20"/>
          <w:szCs w:val="20"/>
          <w:shd w:val="clear" w:color="auto" w:fill="FFFFFF"/>
          <w:vertAlign w:val="superscript"/>
        </w:rPr>
        <w:t>]</w:t>
      </w:r>
      <w:r w:rsidRPr="00A50AD6">
        <w:rPr>
          <w:rFonts w:asciiTheme="majorBidi" w:eastAsiaTheme="minorEastAsia" w:hAnsiTheme="majorBidi" w:cstheme="majorBidi"/>
          <w:sz w:val="20"/>
          <w:szCs w:val="20"/>
        </w:rPr>
        <w:t> </w:t>
      </w:r>
    </w:p>
    <w:p w14:paraId="1C210594" w14:textId="77777777" w:rsidR="00A50AD6" w:rsidRPr="00A50AD6" w:rsidRDefault="00A50AD6" w:rsidP="00A50AD6">
      <w:pPr>
        <w:numPr>
          <w:ilvl w:val="0"/>
          <w:numId w:val="1"/>
        </w:numPr>
        <w:tabs>
          <w:tab w:val="left" w:pos="3765"/>
        </w:tabs>
        <w:contextualSpacing/>
        <w:jc w:val="left"/>
        <w:rPr>
          <w:rFonts w:asciiTheme="majorBidi" w:eastAsiaTheme="minorEastAsia" w:hAnsiTheme="majorBidi" w:cstheme="majorBidi"/>
          <w:sz w:val="20"/>
          <w:szCs w:val="20"/>
        </w:rPr>
      </w:pPr>
      <w:r w:rsidRPr="00A50AD6">
        <w:rPr>
          <w:rFonts w:asciiTheme="majorBidi" w:eastAsiaTheme="minorEastAsia" w:hAnsiTheme="majorBidi" w:cstheme="majorBidi"/>
          <w:sz w:val="20"/>
          <w:szCs w:val="20"/>
        </w:rPr>
        <w:t>Drug Discovery and product characterization</w:t>
      </w:r>
    </w:p>
    <w:p w14:paraId="39DFC69F" w14:textId="77777777" w:rsidR="00A50AD6" w:rsidRPr="00A50AD6" w:rsidRDefault="00A50AD6" w:rsidP="00A50AD6">
      <w:pPr>
        <w:numPr>
          <w:ilvl w:val="0"/>
          <w:numId w:val="1"/>
        </w:numPr>
        <w:tabs>
          <w:tab w:val="left" w:pos="3765"/>
        </w:tabs>
        <w:contextualSpacing/>
        <w:jc w:val="left"/>
        <w:rPr>
          <w:rFonts w:asciiTheme="majorBidi" w:eastAsiaTheme="minorEastAsia" w:hAnsiTheme="majorBidi" w:cstheme="majorBidi"/>
          <w:sz w:val="20"/>
          <w:szCs w:val="20"/>
        </w:rPr>
      </w:pPr>
      <w:r w:rsidRPr="00A50AD6">
        <w:rPr>
          <w:rFonts w:asciiTheme="majorBidi" w:eastAsiaTheme="minorEastAsia" w:hAnsiTheme="majorBidi" w:cstheme="majorBidi"/>
          <w:sz w:val="20"/>
          <w:szCs w:val="20"/>
        </w:rPr>
        <w:t>Formulation and development</w:t>
      </w:r>
    </w:p>
    <w:p w14:paraId="58D3A304" w14:textId="77777777" w:rsidR="00A50AD6" w:rsidRPr="00A50AD6" w:rsidRDefault="00A50AD6" w:rsidP="00A50AD6">
      <w:pPr>
        <w:numPr>
          <w:ilvl w:val="0"/>
          <w:numId w:val="1"/>
        </w:numPr>
        <w:tabs>
          <w:tab w:val="left" w:pos="3765"/>
        </w:tabs>
        <w:contextualSpacing/>
        <w:jc w:val="left"/>
        <w:rPr>
          <w:rFonts w:asciiTheme="majorBidi" w:eastAsiaTheme="minorEastAsia" w:hAnsiTheme="majorBidi" w:cstheme="majorBidi"/>
          <w:sz w:val="20"/>
          <w:szCs w:val="20"/>
        </w:rPr>
      </w:pPr>
      <w:r w:rsidRPr="00A50AD6">
        <w:rPr>
          <w:rFonts w:asciiTheme="majorBidi" w:eastAsiaTheme="minorEastAsia" w:hAnsiTheme="majorBidi" w:cstheme="majorBidi"/>
          <w:sz w:val="20"/>
          <w:szCs w:val="20"/>
        </w:rPr>
        <w:t>Drug Pharmacokinetics and Drug deposition</w:t>
      </w:r>
    </w:p>
    <w:p w14:paraId="4A21C7D0" w14:textId="77777777" w:rsidR="00A50AD6" w:rsidRPr="00A50AD6" w:rsidRDefault="00A50AD6" w:rsidP="00A50AD6">
      <w:pPr>
        <w:numPr>
          <w:ilvl w:val="0"/>
          <w:numId w:val="1"/>
        </w:numPr>
        <w:tabs>
          <w:tab w:val="left" w:pos="3765"/>
        </w:tabs>
        <w:contextualSpacing/>
        <w:jc w:val="left"/>
        <w:rPr>
          <w:rFonts w:asciiTheme="majorBidi" w:eastAsiaTheme="minorEastAsia" w:hAnsiTheme="majorBidi" w:cstheme="majorBidi"/>
          <w:sz w:val="20"/>
          <w:szCs w:val="20"/>
        </w:rPr>
      </w:pPr>
      <w:r w:rsidRPr="00A50AD6">
        <w:rPr>
          <w:rFonts w:asciiTheme="majorBidi" w:eastAsiaTheme="minorEastAsia" w:hAnsiTheme="majorBidi" w:cstheme="majorBidi"/>
          <w:sz w:val="20"/>
          <w:szCs w:val="20"/>
        </w:rPr>
        <w:t xml:space="preserve">Preclinical toxicology testing </w:t>
      </w:r>
    </w:p>
    <w:p w14:paraId="0CFB5DF8" w14:textId="77777777" w:rsidR="00A50AD6" w:rsidRPr="00A50AD6" w:rsidRDefault="00A50AD6" w:rsidP="00A50AD6">
      <w:pPr>
        <w:numPr>
          <w:ilvl w:val="0"/>
          <w:numId w:val="1"/>
        </w:numPr>
        <w:tabs>
          <w:tab w:val="left" w:pos="3765"/>
        </w:tabs>
        <w:contextualSpacing/>
        <w:jc w:val="left"/>
        <w:rPr>
          <w:rFonts w:asciiTheme="majorBidi" w:eastAsiaTheme="minorEastAsia" w:hAnsiTheme="majorBidi" w:cstheme="majorBidi"/>
          <w:sz w:val="20"/>
          <w:szCs w:val="20"/>
        </w:rPr>
      </w:pPr>
      <w:r w:rsidRPr="00A50AD6">
        <w:rPr>
          <w:rFonts w:asciiTheme="majorBidi" w:eastAsiaTheme="minorEastAsia" w:hAnsiTheme="majorBidi" w:cstheme="majorBidi"/>
          <w:sz w:val="20"/>
          <w:szCs w:val="20"/>
        </w:rPr>
        <w:t>IND application</w:t>
      </w:r>
    </w:p>
    <w:p w14:paraId="225099AF" w14:textId="77777777" w:rsidR="00A50AD6" w:rsidRPr="00A50AD6" w:rsidRDefault="00A50AD6" w:rsidP="00A50AD6">
      <w:pPr>
        <w:numPr>
          <w:ilvl w:val="0"/>
          <w:numId w:val="1"/>
        </w:numPr>
        <w:tabs>
          <w:tab w:val="left" w:pos="3765"/>
        </w:tabs>
        <w:contextualSpacing/>
        <w:jc w:val="left"/>
        <w:rPr>
          <w:rFonts w:asciiTheme="majorBidi" w:eastAsiaTheme="minorEastAsia" w:hAnsiTheme="majorBidi" w:cstheme="majorBidi"/>
          <w:sz w:val="20"/>
          <w:szCs w:val="20"/>
        </w:rPr>
      </w:pPr>
      <w:r w:rsidRPr="00A50AD6">
        <w:rPr>
          <w:rFonts w:asciiTheme="majorBidi" w:eastAsiaTheme="minorEastAsia" w:hAnsiTheme="majorBidi" w:cstheme="majorBidi"/>
          <w:sz w:val="20"/>
          <w:szCs w:val="20"/>
        </w:rPr>
        <w:t>Bioanalytical testing</w:t>
      </w:r>
    </w:p>
    <w:p w14:paraId="092496F5" w14:textId="77777777" w:rsidR="00A50AD6" w:rsidRPr="00A50AD6" w:rsidRDefault="00A50AD6" w:rsidP="00A50AD6">
      <w:pPr>
        <w:numPr>
          <w:ilvl w:val="0"/>
          <w:numId w:val="1"/>
        </w:numPr>
        <w:tabs>
          <w:tab w:val="left" w:pos="3765"/>
        </w:tabs>
        <w:contextualSpacing/>
        <w:jc w:val="left"/>
        <w:rPr>
          <w:rFonts w:asciiTheme="majorBidi" w:eastAsiaTheme="minorEastAsia" w:hAnsiTheme="majorBidi" w:cstheme="majorBidi"/>
          <w:sz w:val="20"/>
          <w:szCs w:val="20"/>
        </w:rPr>
      </w:pPr>
      <w:r w:rsidRPr="00A50AD6">
        <w:rPr>
          <w:rFonts w:asciiTheme="majorBidi" w:eastAsiaTheme="minorEastAsia" w:hAnsiTheme="majorBidi" w:cstheme="majorBidi"/>
          <w:sz w:val="20"/>
          <w:szCs w:val="20"/>
        </w:rPr>
        <w:t xml:space="preserve">Clinical Trials </w:t>
      </w:r>
    </w:p>
    <w:p w14:paraId="5BBFFA50" w14:textId="77777777" w:rsidR="00A50AD6" w:rsidRPr="00A50AD6" w:rsidRDefault="00A50AD6" w:rsidP="00A50AD6">
      <w:pPr>
        <w:numPr>
          <w:ilvl w:val="0"/>
          <w:numId w:val="1"/>
        </w:numPr>
        <w:tabs>
          <w:tab w:val="left" w:pos="3765"/>
        </w:tabs>
        <w:contextualSpacing/>
        <w:jc w:val="left"/>
        <w:rPr>
          <w:rFonts w:asciiTheme="majorBidi" w:eastAsiaTheme="minorEastAsia" w:hAnsiTheme="majorBidi" w:cstheme="majorBidi"/>
          <w:sz w:val="20"/>
          <w:szCs w:val="20"/>
        </w:rPr>
      </w:pPr>
      <w:r w:rsidRPr="00A50AD6">
        <w:rPr>
          <w:rFonts w:asciiTheme="majorBidi" w:eastAsiaTheme="minorEastAsia" w:hAnsiTheme="majorBidi" w:cstheme="majorBidi"/>
          <w:sz w:val="20"/>
          <w:szCs w:val="20"/>
        </w:rPr>
        <w:t>Regulatory review</w:t>
      </w:r>
    </w:p>
    <w:p w14:paraId="6EF2A993" w14:textId="77777777" w:rsidR="00A50AD6" w:rsidRPr="00A50AD6" w:rsidRDefault="00A50AD6" w:rsidP="00A50AD6">
      <w:pPr>
        <w:numPr>
          <w:ilvl w:val="0"/>
          <w:numId w:val="1"/>
        </w:numPr>
        <w:tabs>
          <w:tab w:val="left" w:pos="3765"/>
        </w:tabs>
        <w:contextualSpacing/>
        <w:jc w:val="left"/>
        <w:rPr>
          <w:rFonts w:asciiTheme="majorBidi" w:eastAsiaTheme="minorEastAsia" w:hAnsiTheme="majorBidi" w:cstheme="majorBidi"/>
          <w:sz w:val="20"/>
          <w:szCs w:val="20"/>
        </w:rPr>
      </w:pPr>
      <w:r w:rsidRPr="00A50AD6">
        <w:rPr>
          <w:rFonts w:asciiTheme="majorBidi" w:eastAsiaTheme="minorEastAsia" w:hAnsiTheme="majorBidi" w:cstheme="majorBidi"/>
          <w:sz w:val="20"/>
          <w:szCs w:val="20"/>
        </w:rPr>
        <w:t>Drug marketing</w:t>
      </w:r>
    </w:p>
    <w:p w14:paraId="6E60566C" w14:textId="77777777" w:rsidR="00A50AD6" w:rsidRPr="00A50AD6" w:rsidRDefault="00A50AD6" w:rsidP="00A50AD6">
      <w:pPr>
        <w:numPr>
          <w:ilvl w:val="0"/>
          <w:numId w:val="1"/>
        </w:numPr>
        <w:tabs>
          <w:tab w:val="left" w:pos="3765"/>
        </w:tabs>
        <w:contextualSpacing/>
        <w:jc w:val="left"/>
        <w:rPr>
          <w:rFonts w:asciiTheme="majorBidi" w:eastAsiaTheme="minorEastAsia" w:hAnsiTheme="majorBidi" w:cstheme="majorBidi"/>
          <w:sz w:val="20"/>
          <w:szCs w:val="20"/>
        </w:rPr>
      </w:pPr>
      <w:proofErr w:type="spellStart"/>
      <w:r w:rsidRPr="00A50AD6">
        <w:rPr>
          <w:rFonts w:asciiTheme="majorBidi" w:eastAsiaTheme="minorEastAsia" w:hAnsiTheme="majorBidi" w:cstheme="majorBidi"/>
          <w:sz w:val="20"/>
          <w:szCs w:val="20"/>
        </w:rPr>
        <w:t>Postmarketing</w:t>
      </w:r>
      <w:proofErr w:type="spellEnd"/>
      <w:r w:rsidRPr="00A50AD6">
        <w:rPr>
          <w:rFonts w:asciiTheme="majorBidi" w:eastAsiaTheme="minorEastAsia" w:hAnsiTheme="majorBidi" w:cstheme="majorBidi"/>
          <w:sz w:val="20"/>
          <w:szCs w:val="20"/>
        </w:rPr>
        <w:t xml:space="preserve"> surveillance</w:t>
      </w:r>
    </w:p>
    <w:p w14:paraId="00E06E57" w14:textId="77777777" w:rsidR="00A50AD6" w:rsidRPr="00A50AD6" w:rsidRDefault="00A50AD6" w:rsidP="00A50AD6">
      <w:pPr>
        <w:ind w:firstLine="0"/>
        <w:contextualSpacing/>
        <w:rPr>
          <w:rFonts w:asciiTheme="majorBidi" w:eastAsiaTheme="minorEastAsia" w:hAnsiTheme="majorBidi" w:cstheme="majorBidi"/>
          <w:b/>
          <w:sz w:val="20"/>
          <w:szCs w:val="20"/>
        </w:rPr>
      </w:pPr>
    </w:p>
    <w:tbl>
      <w:tblPr>
        <w:tblStyle w:val="amm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50AD6" w:rsidRPr="00A50AD6" w14:paraId="38B6005F" w14:textId="77777777" w:rsidTr="000719F8">
        <w:trPr>
          <w:jc w:val="center"/>
        </w:trPr>
        <w:tc>
          <w:tcPr>
            <w:tcW w:w="9242" w:type="dxa"/>
            <w:vAlign w:val="center"/>
          </w:tcPr>
          <w:p w14:paraId="3CF5B1E2" w14:textId="77777777" w:rsidR="00A50AD6" w:rsidRPr="00A50AD6" w:rsidRDefault="00A50AD6" w:rsidP="000719F8">
            <w:pPr>
              <w:jc w:val="center"/>
              <w:rPr>
                <w:rFonts w:asciiTheme="majorBidi" w:eastAsiaTheme="minorEastAsia" w:hAnsiTheme="majorBidi" w:cstheme="majorBidi"/>
                <w:b/>
                <w:noProof/>
                <w:sz w:val="20"/>
                <w:szCs w:val="20"/>
              </w:rPr>
            </w:pPr>
            <w:r w:rsidRPr="00A50AD6">
              <w:rPr>
                <w:rFonts w:asciiTheme="majorBidi" w:eastAsiaTheme="minorEastAsia" w:hAnsiTheme="majorBidi" w:cstheme="majorBidi"/>
                <w:b/>
                <w:noProof/>
                <w:sz w:val="20"/>
                <w:szCs w:val="20"/>
              </w:rPr>
              <w:drawing>
                <wp:inline distT="0" distB="0" distL="0" distR="0" wp14:anchorId="2AEC54D7" wp14:editId="397F3EC5">
                  <wp:extent cx="3648710" cy="2339163"/>
                  <wp:effectExtent l="0" t="0" r="0" b="4445"/>
                  <wp:docPr id="7" name="Рисунок 10" descr="B:\НАУЧКА\СТАТЬИ\Scopus WOS\Готовтся\Мишвелов\КоронаВ\COVID 2\St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НАУЧКА\СТАТЬИ\Scopus WOS\Готовтся\Мишвелов\КоронаВ\COVID 2\Stat.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1333" cy="2360077"/>
                          </a:xfrm>
                          <a:prstGeom prst="rect">
                            <a:avLst/>
                          </a:prstGeom>
                          <a:noFill/>
                          <a:ln>
                            <a:noFill/>
                          </a:ln>
                        </pic:spPr>
                      </pic:pic>
                    </a:graphicData>
                  </a:graphic>
                </wp:inline>
              </w:drawing>
            </w:r>
          </w:p>
        </w:tc>
      </w:tr>
      <w:tr w:rsidR="00A50AD6" w:rsidRPr="00A50AD6" w14:paraId="5E23EBFA" w14:textId="77777777" w:rsidTr="000719F8">
        <w:trPr>
          <w:jc w:val="center"/>
        </w:trPr>
        <w:tc>
          <w:tcPr>
            <w:tcW w:w="9242" w:type="dxa"/>
            <w:vAlign w:val="center"/>
          </w:tcPr>
          <w:p w14:paraId="39391694" w14:textId="77777777" w:rsidR="00A50AD6" w:rsidRPr="00996A49" w:rsidRDefault="00A50AD6" w:rsidP="000719F8">
            <w:pPr>
              <w:jc w:val="center"/>
              <w:rPr>
                <w:rFonts w:asciiTheme="majorBidi" w:eastAsiaTheme="minorEastAsia" w:hAnsiTheme="majorBidi" w:cstheme="majorBidi"/>
                <w:b/>
                <w:noProof/>
                <w:color w:val="13CC99"/>
                <w:sz w:val="20"/>
                <w:szCs w:val="20"/>
              </w:rPr>
            </w:pPr>
            <w:commentRangeStart w:id="4"/>
            <w:r w:rsidRPr="00996A49">
              <w:rPr>
                <w:rFonts w:asciiTheme="majorBidi" w:eastAsiaTheme="minorEastAsia" w:hAnsiTheme="majorBidi" w:cstheme="majorBidi"/>
                <w:b/>
                <w:bCs/>
                <w:noProof/>
                <w:color w:val="13CC99"/>
                <w:sz w:val="20"/>
                <w:szCs w:val="20"/>
              </w:rPr>
              <w:t>Figure 1.</w:t>
            </w:r>
            <w:r w:rsidRPr="00996A49">
              <w:rPr>
                <w:rFonts w:asciiTheme="majorBidi" w:eastAsiaTheme="minorEastAsia" w:hAnsiTheme="majorBidi" w:cstheme="majorBidi"/>
                <w:b/>
                <w:noProof/>
                <w:color w:val="13CC99"/>
                <w:sz w:val="20"/>
                <w:szCs w:val="20"/>
              </w:rPr>
              <w:t xml:space="preserve"> </w:t>
            </w:r>
            <w:r w:rsidRPr="00996A49">
              <w:rPr>
                <w:rFonts w:asciiTheme="majorBidi" w:eastAsiaTheme="minorEastAsia" w:hAnsiTheme="majorBidi" w:cstheme="majorBidi"/>
                <w:bCs/>
                <w:noProof/>
                <w:color w:val="000000" w:themeColor="text1"/>
                <w:sz w:val="20"/>
                <w:szCs w:val="20"/>
              </w:rPr>
              <w:t>Statistics on the spread of COVID-19 according to WHO and Johns Hopkins University [32].</w:t>
            </w:r>
            <w:commentRangeEnd w:id="4"/>
            <w:r w:rsidRPr="00996A49">
              <w:rPr>
                <w:rFonts w:asciiTheme="majorBidi" w:eastAsiaTheme="minorEastAsia" w:hAnsiTheme="majorBidi" w:cstheme="majorBidi"/>
                <w:bCs/>
                <w:noProof/>
                <w:color w:val="000000" w:themeColor="text1"/>
                <w:sz w:val="20"/>
                <w:szCs w:val="20"/>
              </w:rPr>
              <w:commentReference w:id="4"/>
            </w:r>
          </w:p>
        </w:tc>
      </w:tr>
    </w:tbl>
    <w:p w14:paraId="2320C936" w14:textId="77777777" w:rsidR="00A50AD6" w:rsidRPr="00A50AD6" w:rsidRDefault="00A50AD6" w:rsidP="00A50AD6">
      <w:pPr>
        <w:ind w:firstLine="0"/>
        <w:jc w:val="left"/>
        <w:rPr>
          <w:rFonts w:asciiTheme="majorBidi" w:eastAsia="Arial" w:hAnsiTheme="majorBidi" w:cstheme="majorBidi"/>
          <w:color w:val="44A6AD"/>
          <w:sz w:val="20"/>
          <w:szCs w:val="20"/>
        </w:rPr>
      </w:pPr>
    </w:p>
    <w:p w14:paraId="3BD3EBF8" w14:textId="77777777" w:rsidR="00A50AD6" w:rsidRPr="00A50AD6" w:rsidRDefault="000719F8" w:rsidP="000719F8">
      <w:pPr>
        <w:spacing w:after="240"/>
        <w:ind w:firstLine="0"/>
        <w:jc w:val="left"/>
        <w:rPr>
          <w:rFonts w:asciiTheme="majorBidi" w:eastAsia="Arial" w:hAnsiTheme="majorBidi" w:cstheme="majorBidi"/>
          <w:b/>
          <w:bCs/>
          <w:color w:val="000000" w:themeColor="text1"/>
          <w:sz w:val="20"/>
          <w:szCs w:val="20"/>
        </w:rPr>
      </w:pPr>
      <w:r w:rsidRPr="000719F8">
        <w:rPr>
          <w:rFonts w:asciiTheme="majorBidi" w:eastAsia="Arial" w:hAnsiTheme="majorBidi" w:cstheme="majorBidi"/>
          <w:b/>
          <w:bCs/>
          <w:color w:val="000000" w:themeColor="text1"/>
          <w:sz w:val="20"/>
          <w:szCs w:val="20"/>
        </w:rPr>
        <w:t xml:space="preserve">Materials and Methods </w:t>
      </w:r>
    </w:p>
    <w:p w14:paraId="4C104A48" w14:textId="77777777" w:rsidR="00A50AD6" w:rsidRPr="00A50AD6" w:rsidRDefault="00A50AD6" w:rsidP="00A50AD6">
      <w:pPr>
        <w:ind w:firstLine="0"/>
        <w:contextualSpacing/>
        <w:rPr>
          <w:rFonts w:asciiTheme="majorBidi" w:eastAsiaTheme="minorEastAsia" w:hAnsiTheme="majorBidi" w:cstheme="majorBidi"/>
          <w:sz w:val="20"/>
          <w:szCs w:val="20"/>
          <w:vertAlign w:val="superscript"/>
        </w:rPr>
      </w:pPr>
      <w:r w:rsidRPr="00A50AD6">
        <w:rPr>
          <w:rFonts w:asciiTheme="majorBidi" w:eastAsiaTheme="minorEastAsia" w:hAnsiTheme="majorBidi" w:cstheme="majorBidi"/>
          <w:sz w:val="20"/>
          <w:szCs w:val="20"/>
        </w:rPr>
        <w:t xml:space="preserve">According to WHO, clinical trials are a type of research that studies new treatment compounds and evaluates their effects on human health outcomes [9, </w:t>
      </w:r>
      <w:r w:rsidRPr="00A50AD6">
        <w:rPr>
          <w:rFonts w:asciiTheme="majorBidi" w:eastAsiaTheme="minorEastAsia" w:hAnsiTheme="majorBidi" w:cstheme="majorBidi"/>
          <w:sz w:val="20"/>
          <w:szCs w:val="20"/>
          <w:shd w:val="clear" w:color="auto" w:fill="FFFFFF"/>
        </w:rPr>
        <w:t>10].</w:t>
      </w:r>
      <w:r w:rsidRPr="00A50AD6">
        <w:rPr>
          <w:rFonts w:asciiTheme="majorBidi" w:eastAsiaTheme="minorEastAsia" w:hAnsiTheme="majorBidi" w:cstheme="majorBidi"/>
          <w:sz w:val="20"/>
          <w:szCs w:val="20"/>
        </w:rPr>
        <w:t xml:space="preserve"> Clinical trials are usually done in five phases with increasingly precise procedures in every phase. Compounds that are ineffective or insufficiently safe at one phase cannot proceed to the next phase. Any new drug has to pass pre-clinical studies before it enters clinical trials. Pre-clinical studies are done in vivo (animal populations) and in vitro (laboratory). In vitro substrate or animal, subjects are administered with different dosages of the study drug to obtain pharmacokinetic parameters, toxicity, and preliminary efficacy to assist pharmaceutical organizations and researchers in deciding whether it is advantageous to proceed with further testing. Before the </w:t>
      </w:r>
    </w:p>
    <w:p w14:paraId="27FE870C" w14:textId="77777777" w:rsidR="00A50AD6" w:rsidRPr="00A50AD6" w:rsidRDefault="00A50AD6" w:rsidP="00A50AD6">
      <w:pPr>
        <w:autoSpaceDE w:val="0"/>
        <w:autoSpaceDN w:val="0"/>
        <w:adjustRightInd w:val="0"/>
        <w:ind w:firstLine="0"/>
        <w:contextualSpacing/>
        <w:rPr>
          <w:rFonts w:asciiTheme="majorBidi" w:eastAsiaTheme="minorEastAsia" w:hAnsiTheme="majorBidi" w:cstheme="majorBidi"/>
          <w:sz w:val="20"/>
          <w:szCs w:val="20"/>
        </w:rPr>
      </w:pPr>
    </w:p>
    <w:p w14:paraId="6A8F977F" w14:textId="77777777" w:rsidR="00A50AD6" w:rsidRPr="00A50AD6" w:rsidRDefault="00A50AD6" w:rsidP="00A50AD6">
      <w:pPr>
        <w:ind w:firstLine="0"/>
        <w:jc w:val="left"/>
        <w:rPr>
          <w:rFonts w:asciiTheme="majorBidi" w:eastAsia="Arial" w:hAnsiTheme="majorBidi" w:cstheme="majorBidi"/>
          <w:i/>
          <w:iCs/>
          <w:color w:val="000000" w:themeColor="text1"/>
          <w:sz w:val="20"/>
          <w:szCs w:val="20"/>
        </w:rPr>
      </w:pPr>
      <w:r w:rsidRPr="00A50AD6">
        <w:rPr>
          <w:rFonts w:asciiTheme="majorBidi" w:eastAsia="Arial" w:hAnsiTheme="majorBidi" w:cstheme="majorBidi"/>
          <w:i/>
          <w:iCs/>
          <w:color w:val="000000" w:themeColor="text1"/>
          <w:sz w:val="20"/>
          <w:szCs w:val="20"/>
        </w:rPr>
        <w:t xml:space="preserve">Major Clinical Trials </w:t>
      </w:r>
      <w:r w:rsidR="000719F8" w:rsidRPr="00A50AD6">
        <w:rPr>
          <w:rFonts w:asciiTheme="majorBidi" w:eastAsia="Arial" w:hAnsiTheme="majorBidi" w:cstheme="majorBidi"/>
          <w:i/>
          <w:iCs/>
          <w:color w:val="000000" w:themeColor="text1"/>
          <w:sz w:val="20"/>
          <w:szCs w:val="20"/>
        </w:rPr>
        <w:t>Failure</w:t>
      </w:r>
    </w:p>
    <w:p w14:paraId="21B3CF8F" w14:textId="77777777" w:rsidR="00A50AD6" w:rsidRPr="00A50AD6" w:rsidRDefault="00A50AD6" w:rsidP="00A50AD6">
      <w:pPr>
        <w:ind w:firstLine="0"/>
        <w:rPr>
          <w:rFonts w:asciiTheme="majorBidi" w:eastAsiaTheme="minorEastAsia" w:hAnsiTheme="majorBidi" w:cstheme="majorBidi"/>
          <w:sz w:val="20"/>
          <w:szCs w:val="20"/>
          <w:shd w:val="clear" w:color="auto" w:fill="FFFFFF"/>
        </w:rPr>
      </w:pPr>
      <w:proofErr w:type="spellStart"/>
      <w:r w:rsidRPr="00A50AD6">
        <w:rPr>
          <w:rFonts w:asciiTheme="majorBidi" w:eastAsiaTheme="minorEastAsia" w:hAnsiTheme="majorBidi" w:cstheme="majorBidi"/>
          <w:b/>
          <w:sz w:val="20"/>
          <w:szCs w:val="20"/>
        </w:rPr>
        <w:t>Atabecestat</w:t>
      </w:r>
      <w:proofErr w:type="spellEnd"/>
      <w:r w:rsidRPr="00A50AD6">
        <w:rPr>
          <w:rFonts w:asciiTheme="majorBidi" w:eastAsiaTheme="minorEastAsia" w:hAnsiTheme="majorBidi" w:cstheme="majorBidi"/>
          <w:b/>
          <w:sz w:val="20"/>
          <w:szCs w:val="20"/>
        </w:rPr>
        <w:t xml:space="preserve">: </w:t>
      </w:r>
      <w:proofErr w:type="spellStart"/>
      <w:r w:rsidRPr="00A50AD6">
        <w:rPr>
          <w:rFonts w:asciiTheme="majorBidi" w:eastAsiaTheme="minorEastAsia" w:hAnsiTheme="majorBidi" w:cstheme="majorBidi"/>
          <w:sz w:val="20"/>
          <w:szCs w:val="20"/>
        </w:rPr>
        <w:t>Atabecestat</w:t>
      </w:r>
      <w:proofErr w:type="spellEnd"/>
      <w:r w:rsidRPr="00A50AD6">
        <w:rPr>
          <w:rFonts w:asciiTheme="majorBidi" w:eastAsiaTheme="minorEastAsia" w:hAnsiTheme="majorBidi" w:cstheme="majorBidi"/>
          <w:sz w:val="20"/>
          <w:szCs w:val="20"/>
        </w:rPr>
        <w:t xml:space="preserve"> is a molecule under trials for the treatment of Alzheimer's Disease (AD) by Janssen Research and development. </w:t>
      </w:r>
      <w:r w:rsidR="000719F8">
        <w:rPr>
          <w:rFonts w:asciiTheme="majorBidi" w:eastAsiaTheme="minorEastAsia" w:hAnsiTheme="majorBidi" w:cstheme="majorBidi"/>
          <w:sz w:val="20"/>
          <w:szCs w:val="20"/>
        </w:rPr>
        <w:t xml:space="preserve">This trial was failed due to a </w:t>
      </w:r>
      <w:r w:rsidRPr="00A50AD6">
        <w:rPr>
          <w:rFonts w:asciiTheme="majorBidi" w:eastAsiaTheme="minorEastAsia" w:hAnsiTheme="majorBidi" w:cstheme="majorBidi"/>
          <w:sz w:val="20"/>
          <w:szCs w:val="20"/>
        </w:rPr>
        <w:t xml:space="preserve">lack of safety during Phase </w:t>
      </w:r>
      <w:proofErr w:type="spellStart"/>
      <w:r w:rsidRPr="00A50AD6">
        <w:rPr>
          <w:rFonts w:asciiTheme="majorBidi" w:eastAsiaTheme="minorEastAsia" w:hAnsiTheme="majorBidi" w:cstheme="majorBidi"/>
          <w:sz w:val="20"/>
          <w:szCs w:val="20"/>
        </w:rPr>
        <w:t>IIb</w:t>
      </w:r>
      <w:proofErr w:type="spellEnd"/>
      <w:r w:rsidRPr="00A50AD6">
        <w:rPr>
          <w:rFonts w:asciiTheme="majorBidi" w:eastAsiaTheme="minorEastAsia" w:hAnsiTheme="majorBidi" w:cstheme="majorBidi"/>
          <w:sz w:val="20"/>
          <w:szCs w:val="20"/>
        </w:rPr>
        <w:t>/III. The amyloid hypothesis of AD suggests the accumulation of beta-amyloid pathological forms (</w:t>
      </w:r>
      <w:r w:rsidRPr="00A50AD6">
        <w:rPr>
          <w:rFonts w:asciiTheme="majorBidi" w:eastAsiaTheme="minorEastAsia" w:hAnsiTheme="majorBidi" w:cstheme="majorBidi"/>
          <w:sz w:val="20"/>
          <w:szCs w:val="20"/>
          <w:shd w:val="clear" w:color="auto" w:fill="FFFFFF"/>
        </w:rPr>
        <w:t>Aβ)</w:t>
      </w:r>
      <w:r w:rsidRPr="00A50AD6">
        <w:rPr>
          <w:rFonts w:asciiTheme="majorBidi" w:eastAsiaTheme="minorEastAsia" w:hAnsiTheme="majorBidi" w:cstheme="majorBidi"/>
          <w:sz w:val="20"/>
          <w:szCs w:val="20"/>
        </w:rPr>
        <w:t xml:space="preserve">, a component of a large protein known as an amyloid precursor protein (AAP). There are mainly two enzymes involved in the production of </w:t>
      </w:r>
      <w:r w:rsidRPr="00A50AD6">
        <w:rPr>
          <w:rFonts w:asciiTheme="majorBidi" w:eastAsiaTheme="minorEastAsia" w:hAnsiTheme="majorBidi" w:cstheme="majorBidi"/>
          <w:sz w:val="20"/>
          <w:szCs w:val="20"/>
          <w:shd w:val="clear" w:color="auto" w:fill="FFFFFF"/>
        </w:rPr>
        <w:t xml:space="preserve">Aβ: β-secretase and γ-secretase. </w:t>
      </w:r>
    </w:p>
    <w:p w14:paraId="0A2E746C" w14:textId="77777777" w:rsidR="00A50AD6" w:rsidRPr="00A50AD6" w:rsidRDefault="00A50AD6" w:rsidP="00A50AD6">
      <w:pPr>
        <w:ind w:firstLine="0"/>
        <w:jc w:val="left"/>
        <w:rPr>
          <w:rFonts w:asciiTheme="majorBidi" w:eastAsia="Arial" w:hAnsiTheme="majorBidi" w:cstheme="majorBidi"/>
          <w:color w:val="44A6AD"/>
          <w:sz w:val="20"/>
          <w:szCs w:val="20"/>
        </w:rPr>
      </w:pPr>
    </w:p>
    <w:p w14:paraId="3335140C" w14:textId="77777777" w:rsidR="00A50AD6" w:rsidRPr="00A50AD6" w:rsidRDefault="000719F8" w:rsidP="000719F8">
      <w:pPr>
        <w:spacing w:after="240"/>
        <w:ind w:firstLine="0"/>
        <w:jc w:val="left"/>
        <w:rPr>
          <w:rFonts w:asciiTheme="majorBidi" w:eastAsia="Arial" w:hAnsiTheme="majorBidi" w:cstheme="majorBidi"/>
          <w:b/>
          <w:bCs/>
          <w:color w:val="000000" w:themeColor="text1"/>
          <w:sz w:val="20"/>
          <w:szCs w:val="20"/>
        </w:rPr>
      </w:pPr>
      <w:r w:rsidRPr="000719F8">
        <w:rPr>
          <w:rFonts w:asciiTheme="majorBidi" w:eastAsia="Arial" w:hAnsiTheme="majorBidi" w:cstheme="majorBidi"/>
          <w:b/>
          <w:bCs/>
          <w:color w:val="000000" w:themeColor="text1"/>
          <w:sz w:val="20"/>
          <w:szCs w:val="20"/>
        </w:rPr>
        <w:lastRenderedPageBreak/>
        <w:t xml:space="preserve">Results and Discussion </w:t>
      </w:r>
    </w:p>
    <w:p w14:paraId="164EEEC6" w14:textId="77777777" w:rsidR="00A50AD6" w:rsidRDefault="00A50AD6" w:rsidP="00A50AD6">
      <w:pPr>
        <w:ind w:firstLine="0"/>
        <w:rPr>
          <w:rFonts w:asciiTheme="majorBidi" w:eastAsiaTheme="minorEastAsia" w:hAnsiTheme="majorBidi" w:cstheme="majorBidi"/>
          <w:sz w:val="20"/>
          <w:szCs w:val="20"/>
          <w:shd w:val="clear" w:color="auto" w:fill="FFFFFF"/>
        </w:rPr>
      </w:pPr>
      <w:r w:rsidRPr="00A50AD6">
        <w:rPr>
          <w:rFonts w:asciiTheme="majorBidi" w:eastAsiaTheme="minorEastAsia" w:hAnsiTheme="majorBidi" w:cstheme="majorBidi"/>
          <w:sz w:val="20"/>
          <w:szCs w:val="20"/>
          <w:shd w:val="clear" w:color="auto" w:fill="FFFFFF"/>
        </w:rPr>
        <w:t>β-secretase which is also known as β-site amyloid precursor protein cleaving enzyme 1 (BACE1), is the primary target, and inhibition of BACE1 is one of the important therapeutic approaches in the treatment of AD.</w:t>
      </w:r>
    </w:p>
    <w:p w14:paraId="6D2AD04F" w14:textId="77777777" w:rsidR="000719F8" w:rsidRPr="00996A49" w:rsidRDefault="000719F8" w:rsidP="000719F8">
      <w:pPr>
        <w:spacing w:before="240"/>
        <w:ind w:firstLine="0"/>
        <w:jc w:val="center"/>
        <w:rPr>
          <w:rFonts w:asciiTheme="majorBidi" w:eastAsiaTheme="minorEastAsia" w:hAnsiTheme="majorBidi" w:cstheme="majorBidi"/>
          <w:color w:val="13CC99"/>
          <w:shd w:val="clear" w:color="auto" w:fill="FFFFFF"/>
        </w:rPr>
      </w:pPr>
      <w:r w:rsidRPr="00996A49">
        <w:rPr>
          <w:rFonts w:asciiTheme="majorBidi" w:eastAsia="Calibri" w:hAnsiTheme="majorBidi" w:cstheme="majorBidi"/>
          <w:b/>
          <w:bCs/>
          <w:color w:val="13CC99"/>
          <w:sz w:val="20"/>
          <w:szCs w:val="20"/>
        </w:rPr>
        <w:t xml:space="preserve">Table 1. </w:t>
      </w:r>
      <w:r w:rsidRPr="00996A49">
        <w:rPr>
          <w:rFonts w:asciiTheme="majorBidi" w:eastAsia="Calibri" w:hAnsiTheme="majorBidi" w:cstheme="majorBidi"/>
          <w:color w:val="000000" w:themeColor="text1"/>
          <w:sz w:val="20"/>
          <w:szCs w:val="20"/>
        </w:rPr>
        <w:t>Distribution of the participants by selected sociodemographic characteristics</w:t>
      </w:r>
    </w:p>
    <w:tbl>
      <w:tblPr>
        <w:tblStyle w:val="amm1"/>
        <w:tblW w:w="4904"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231"/>
        <w:gridCol w:w="3577"/>
        <w:gridCol w:w="2045"/>
      </w:tblGrid>
      <w:tr w:rsidR="003D13D4" w:rsidRPr="00A50AD6" w14:paraId="36FCFF4B" w14:textId="77777777" w:rsidTr="00077A88">
        <w:trPr>
          <w:trHeight w:val="368"/>
          <w:jc w:val="center"/>
        </w:trPr>
        <w:tc>
          <w:tcPr>
            <w:tcW w:w="1825" w:type="pct"/>
            <w:vAlign w:val="center"/>
            <w:hideMark/>
          </w:tcPr>
          <w:p w14:paraId="1E865140" w14:textId="77777777" w:rsidR="00A50AD6" w:rsidRPr="00A50AD6" w:rsidRDefault="00A50AD6" w:rsidP="000719F8">
            <w:pPr>
              <w:ind w:right="14"/>
              <w:jc w:val="center"/>
              <w:rPr>
                <w:rFonts w:asciiTheme="majorBidi" w:eastAsia="Calibri" w:hAnsiTheme="majorBidi" w:cstheme="majorBidi"/>
                <w:b/>
                <w:bCs/>
                <w:sz w:val="18"/>
                <w:szCs w:val="18"/>
              </w:rPr>
            </w:pPr>
            <w:r w:rsidRPr="00A50AD6">
              <w:rPr>
                <w:rFonts w:asciiTheme="majorBidi" w:eastAsia="Calibri" w:hAnsiTheme="majorBidi" w:cstheme="majorBidi"/>
                <w:b/>
                <w:bCs/>
                <w:sz w:val="18"/>
                <w:szCs w:val="18"/>
              </w:rPr>
              <w:t>Data</w:t>
            </w:r>
          </w:p>
        </w:tc>
        <w:tc>
          <w:tcPr>
            <w:tcW w:w="2020" w:type="pct"/>
            <w:vAlign w:val="center"/>
            <w:hideMark/>
          </w:tcPr>
          <w:p w14:paraId="21E7C31E" w14:textId="77777777" w:rsidR="00A50AD6" w:rsidRPr="00A50AD6" w:rsidRDefault="00A50AD6" w:rsidP="000719F8">
            <w:pPr>
              <w:ind w:right="14"/>
              <w:jc w:val="center"/>
              <w:rPr>
                <w:rFonts w:asciiTheme="majorBidi" w:eastAsia="Calibri" w:hAnsiTheme="majorBidi" w:cstheme="majorBidi"/>
                <w:b/>
                <w:bCs/>
                <w:sz w:val="18"/>
                <w:szCs w:val="18"/>
              </w:rPr>
            </w:pPr>
            <w:r w:rsidRPr="00A50AD6">
              <w:rPr>
                <w:rFonts w:asciiTheme="majorBidi" w:eastAsia="Calibri" w:hAnsiTheme="majorBidi" w:cstheme="majorBidi"/>
                <w:b/>
                <w:bCs/>
                <w:sz w:val="18"/>
                <w:szCs w:val="18"/>
              </w:rPr>
              <w:t>No. of participants</w:t>
            </w:r>
          </w:p>
        </w:tc>
        <w:tc>
          <w:tcPr>
            <w:tcW w:w="1155" w:type="pct"/>
            <w:vAlign w:val="center"/>
            <w:hideMark/>
          </w:tcPr>
          <w:p w14:paraId="53351895" w14:textId="77777777" w:rsidR="00A50AD6" w:rsidRPr="00A50AD6" w:rsidRDefault="00A50AD6" w:rsidP="000719F8">
            <w:pPr>
              <w:ind w:right="14"/>
              <w:jc w:val="center"/>
              <w:rPr>
                <w:rFonts w:asciiTheme="majorBidi" w:eastAsia="Calibri" w:hAnsiTheme="majorBidi" w:cstheme="majorBidi"/>
                <w:b/>
                <w:bCs/>
                <w:sz w:val="18"/>
                <w:szCs w:val="18"/>
              </w:rPr>
            </w:pPr>
            <w:r w:rsidRPr="00A50AD6">
              <w:rPr>
                <w:rFonts w:asciiTheme="majorBidi" w:eastAsia="Calibri" w:hAnsiTheme="majorBidi" w:cstheme="majorBidi"/>
                <w:b/>
                <w:bCs/>
                <w:sz w:val="18"/>
                <w:szCs w:val="18"/>
              </w:rPr>
              <w:t>% (n=600)</w:t>
            </w:r>
          </w:p>
        </w:tc>
      </w:tr>
      <w:tr w:rsidR="003D13D4" w:rsidRPr="00A50AD6" w14:paraId="1EF18465" w14:textId="77777777" w:rsidTr="00077A88">
        <w:trPr>
          <w:trHeight w:val="750"/>
          <w:jc w:val="center"/>
        </w:trPr>
        <w:tc>
          <w:tcPr>
            <w:tcW w:w="1825" w:type="pct"/>
            <w:vAlign w:val="center"/>
            <w:hideMark/>
          </w:tcPr>
          <w:p w14:paraId="22DAC10E" w14:textId="77777777" w:rsidR="00A50AD6" w:rsidRPr="00A50AD6" w:rsidRDefault="00A50AD6" w:rsidP="000719F8">
            <w:pPr>
              <w:ind w:right="14"/>
              <w:jc w:val="center"/>
              <w:rPr>
                <w:rFonts w:asciiTheme="majorBidi" w:eastAsia="Calibri" w:hAnsiTheme="majorBidi" w:cstheme="majorBidi"/>
                <w:b/>
                <w:bCs/>
                <w:i/>
                <w:iCs/>
                <w:sz w:val="18"/>
                <w:szCs w:val="18"/>
              </w:rPr>
            </w:pPr>
            <w:r w:rsidRPr="00A50AD6">
              <w:rPr>
                <w:rFonts w:asciiTheme="majorBidi" w:eastAsia="Calibri" w:hAnsiTheme="majorBidi" w:cstheme="majorBidi"/>
                <w:b/>
                <w:bCs/>
                <w:i/>
                <w:iCs/>
                <w:sz w:val="18"/>
                <w:szCs w:val="18"/>
              </w:rPr>
              <w:t>Gender</w:t>
            </w:r>
          </w:p>
          <w:p w14:paraId="3D2D03A3"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Male</w:t>
            </w:r>
          </w:p>
          <w:p w14:paraId="02F15DFC"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Female</w:t>
            </w:r>
          </w:p>
        </w:tc>
        <w:tc>
          <w:tcPr>
            <w:tcW w:w="2020" w:type="pct"/>
            <w:vAlign w:val="center"/>
          </w:tcPr>
          <w:p w14:paraId="00AF30E4" w14:textId="77777777" w:rsidR="00A50AD6" w:rsidRPr="00A50AD6" w:rsidRDefault="00A50AD6" w:rsidP="000719F8">
            <w:pPr>
              <w:ind w:right="14"/>
              <w:jc w:val="center"/>
              <w:rPr>
                <w:rFonts w:asciiTheme="majorBidi" w:eastAsia="Calibri" w:hAnsiTheme="majorBidi" w:cstheme="majorBidi"/>
                <w:sz w:val="18"/>
                <w:szCs w:val="18"/>
              </w:rPr>
            </w:pPr>
          </w:p>
          <w:p w14:paraId="5BF351FA"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300</w:t>
            </w:r>
          </w:p>
          <w:p w14:paraId="209CC8AC"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300</w:t>
            </w:r>
          </w:p>
        </w:tc>
        <w:tc>
          <w:tcPr>
            <w:tcW w:w="1155" w:type="pct"/>
            <w:vAlign w:val="center"/>
          </w:tcPr>
          <w:p w14:paraId="39CB2196" w14:textId="77777777" w:rsidR="00A50AD6" w:rsidRPr="00A50AD6" w:rsidRDefault="00A50AD6" w:rsidP="000719F8">
            <w:pPr>
              <w:ind w:right="14"/>
              <w:jc w:val="center"/>
              <w:rPr>
                <w:rFonts w:asciiTheme="majorBidi" w:eastAsia="Calibri" w:hAnsiTheme="majorBidi" w:cstheme="majorBidi"/>
                <w:sz w:val="18"/>
                <w:szCs w:val="18"/>
              </w:rPr>
            </w:pPr>
          </w:p>
          <w:p w14:paraId="40D44CB0"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50</w:t>
            </w:r>
          </w:p>
          <w:p w14:paraId="2B8EC392"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50</w:t>
            </w:r>
          </w:p>
        </w:tc>
      </w:tr>
      <w:tr w:rsidR="003D13D4" w:rsidRPr="00A50AD6" w14:paraId="20CB2714" w14:textId="77777777" w:rsidTr="00077A88">
        <w:trPr>
          <w:trHeight w:val="1235"/>
          <w:jc w:val="center"/>
        </w:trPr>
        <w:tc>
          <w:tcPr>
            <w:tcW w:w="1825" w:type="pct"/>
            <w:vAlign w:val="center"/>
            <w:hideMark/>
          </w:tcPr>
          <w:p w14:paraId="3270CDB1" w14:textId="77777777" w:rsidR="00A50AD6" w:rsidRPr="00A50AD6" w:rsidRDefault="00A50AD6" w:rsidP="000719F8">
            <w:pPr>
              <w:ind w:right="14"/>
              <w:jc w:val="center"/>
              <w:rPr>
                <w:rFonts w:asciiTheme="majorBidi" w:eastAsia="Calibri" w:hAnsiTheme="majorBidi" w:cstheme="majorBidi"/>
                <w:b/>
                <w:bCs/>
                <w:i/>
                <w:iCs/>
                <w:sz w:val="18"/>
                <w:szCs w:val="18"/>
              </w:rPr>
            </w:pPr>
            <w:r w:rsidRPr="00A50AD6">
              <w:rPr>
                <w:rFonts w:asciiTheme="majorBidi" w:eastAsia="Calibri" w:hAnsiTheme="majorBidi" w:cstheme="majorBidi"/>
                <w:b/>
                <w:bCs/>
                <w:i/>
                <w:iCs/>
                <w:sz w:val="18"/>
                <w:szCs w:val="18"/>
              </w:rPr>
              <w:t>Participants’ age (years)</w:t>
            </w:r>
          </w:p>
          <w:p w14:paraId="2C8FBF37"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18-25</w:t>
            </w:r>
          </w:p>
          <w:p w14:paraId="21A77880"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26-35</w:t>
            </w:r>
          </w:p>
          <w:p w14:paraId="30C67FF9"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36-45</w:t>
            </w:r>
          </w:p>
          <w:p w14:paraId="4A283325"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&gt;46</w:t>
            </w:r>
          </w:p>
        </w:tc>
        <w:tc>
          <w:tcPr>
            <w:tcW w:w="2020" w:type="pct"/>
            <w:vAlign w:val="center"/>
          </w:tcPr>
          <w:p w14:paraId="033EFB6C" w14:textId="77777777" w:rsidR="00A50AD6" w:rsidRPr="00A50AD6" w:rsidRDefault="00A50AD6" w:rsidP="000719F8">
            <w:pPr>
              <w:ind w:right="14"/>
              <w:jc w:val="center"/>
              <w:rPr>
                <w:rFonts w:asciiTheme="majorBidi" w:eastAsia="Calibri" w:hAnsiTheme="majorBidi" w:cstheme="majorBidi"/>
                <w:sz w:val="18"/>
                <w:szCs w:val="18"/>
              </w:rPr>
            </w:pPr>
          </w:p>
          <w:p w14:paraId="223FFDB5"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275</w:t>
            </w:r>
          </w:p>
          <w:p w14:paraId="0BF4C753"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167</w:t>
            </w:r>
          </w:p>
          <w:p w14:paraId="488F78F8"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108</w:t>
            </w:r>
          </w:p>
          <w:p w14:paraId="43209650"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50</w:t>
            </w:r>
          </w:p>
        </w:tc>
        <w:tc>
          <w:tcPr>
            <w:tcW w:w="1155" w:type="pct"/>
            <w:vAlign w:val="center"/>
          </w:tcPr>
          <w:p w14:paraId="54335B32" w14:textId="77777777" w:rsidR="00A50AD6" w:rsidRPr="00A50AD6" w:rsidRDefault="00A50AD6" w:rsidP="000719F8">
            <w:pPr>
              <w:ind w:right="14"/>
              <w:jc w:val="center"/>
              <w:rPr>
                <w:rFonts w:asciiTheme="majorBidi" w:eastAsia="Calibri" w:hAnsiTheme="majorBidi" w:cstheme="majorBidi"/>
                <w:sz w:val="18"/>
                <w:szCs w:val="18"/>
              </w:rPr>
            </w:pPr>
          </w:p>
          <w:p w14:paraId="513E68BA"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45.8</w:t>
            </w:r>
          </w:p>
          <w:p w14:paraId="6244800F"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27.8</w:t>
            </w:r>
          </w:p>
          <w:p w14:paraId="78F1AD24"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18</w:t>
            </w:r>
          </w:p>
          <w:p w14:paraId="6A8C3B48"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8.3</w:t>
            </w:r>
          </w:p>
        </w:tc>
      </w:tr>
      <w:tr w:rsidR="003D13D4" w:rsidRPr="00A50AD6" w14:paraId="76BD5BBD" w14:textId="77777777" w:rsidTr="00077A88">
        <w:trPr>
          <w:trHeight w:val="1346"/>
          <w:jc w:val="center"/>
        </w:trPr>
        <w:tc>
          <w:tcPr>
            <w:tcW w:w="1825" w:type="pct"/>
            <w:vAlign w:val="center"/>
            <w:hideMark/>
          </w:tcPr>
          <w:p w14:paraId="2CA6EFA7" w14:textId="77777777" w:rsidR="00A50AD6" w:rsidRPr="00A50AD6" w:rsidRDefault="00A50AD6" w:rsidP="000719F8">
            <w:pPr>
              <w:ind w:right="14"/>
              <w:jc w:val="center"/>
              <w:rPr>
                <w:rFonts w:asciiTheme="majorBidi" w:eastAsia="Calibri" w:hAnsiTheme="majorBidi" w:cstheme="majorBidi"/>
                <w:b/>
                <w:bCs/>
                <w:i/>
                <w:iCs/>
                <w:sz w:val="18"/>
                <w:szCs w:val="18"/>
              </w:rPr>
            </w:pPr>
            <w:r w:rsidRPr="00A50AD6">
              <w:rPr>
                <w:rFonts w:asciiTheme="majorBidi" w:eastAsia="Calibri" w:hAnsiTheme="majorBidi" w:cstheme="majorBidi"/>
                <w:b/>
                <w:bCs/>
                <w:i/>
                <w:iCs/>
                <w:sz w:val="18"/>
                <w:szCs w:val="18"/>
              </w:rPr>
              <w:t>Education level</w:t>
            </w:r>
          </w:p>
          <w:p w14:paraId="1B4494CA" w14:textId="77777777" w:rsidR="00A50AD6" w:rsidRPr="00A50AD6" w:rsidRDefault="00A50AD6" w:rsidP="000719F8">
            <w:pPr>
              <w:ind w:left="171"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Postgraduate</w:t>
            </w:r>
          </w:p>
          <w:p w14:paraId="310CC8EC" w14:textId="77777777" w:rsidR="00A50AD6" w:rsidRPr="00A50AD6" w:rsidRDefault="00A50AD6" w:rsidP="000719F8">
            <w:pPr>
              <w:ind w:left="171"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University</w:t>
            </w:r>
          </w:p>
          <w:p w14:paraId="5284E0C5" w14:textId="77777777" w:rsidR="00A50AD6" w:rsidRPr="00A50AD6" w:rsidRDefault="00A50AD6" w:rsidP="000719F8">
            <w:pPr>
              <w:ind w:left="171"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Secondary education</w:t>
            </w:r>
          </w:p>
          <w:p w14:paraId="4EAFDA01" w14:textId="77777777" w:rsidR="00A50AD6" w:rsidRPr="00A50AD6" w:rsidRDefault="00A50AD6" w:rsidP="000719F8">
            <w:pPr>
              <w:ind w:left="171"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Basic education</w:t>
            </w:r>
          </w:p>
          <w:p w14:paraId="4B4B3C8B" w14:textId="77777777" w:rsidR="00A50AD6" w:rsidRPr="00A50AD6" w:rsidRDefault="00A50AD6" w:rsidP="000719F8">
            <w:pPr>
              <w:ind w:left="171"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Read and write</w:t>
            </w:r>
          </w:p>
        </w:tc>
        <w:tc>
          <w:tcPr>
            <w:tcW w:w="2020" w:type="pct"/>
            <w:vAlign w:val="center"/>
          </w:tcPr>
          <w:p w14:paraId="205E74B8" w14:textId="77777777" w:rsidR="00A50AD6" w:rsidRPr="00A50AD6" w:rsidRDefault="00A50AD6" w:rsidP="000719F8">
            <w:pPr>
              <w:ind w:right="14"/>
              <w:jc w:val="center"/>
              <w:rPr>
                <w:rFonts w:asciiTheme="majorBidi" w:eastAsia="Calibri" w:hAnsiTheme="majorBidi" w:cstheme="majorBidi"/>
                <w:sz w:val="18"/>
                <w:szCs w:val="18"/>
              </w:rPr>
            </w:pPr>
          </w:p>
          <w:p w14:paraId="62B0709D"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60</w:t>
            </w:r>
          </w:p>
          <w:p w14:paraId="25DD1299"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382</w:t>
            </w:r>
          </w:p>
          <w:p w14:paraId="2D1F5013"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140</w:t>
            </w:r>
          </w:p>
          <w:p w14:paraId="254FB03C"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15</w:t>
            </w:r>
          </w:p>
          <w:p w14:paraId="7D28C4A3"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3</w:t>
            </w:r>
          </w:p>
        </w:tc>
        <w:tc>
          <w:tcPr>
            <w:tcW w:w="1155" w:type="pct"/>
            <w:vAlign w:val="center"/>
          </w:tcPr>
          <w:p w14:paraId="200C8F10" w14:textId="77777777" w:rsidR="00A50AD6" w:rsidRPr="00A50AD6" w:rsidRDefault="00A50AD6" w:rsidP="000719F8">
            <w:pPr>
              <w:ind w:right="14"/>
              <w:jc w:val="center"/>
              <w:rPr>
                <w:rFonts w:asciiTheme="majorBidi" w:eastAsia="Calibri" w:hAnsiTheme="majorBidi" w:cstheme="majorBidi"/>
                <w:sz w:val="18"/>
                <w:szCs w:val="18"/>
              </w:rPr>
            </w:pPr>
          </w:p>
          <w:p w14:paraId="1CD91761"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10</w:t>
            </w:r>
          </w:p>
          <w:p w14:paraId="4F62B16A"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63.7</w:t>
            </w:r>
          </w:p>
          <w:p w14:paraId="183D0CCC"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23.3</w:t>
            </w:r>
          </w:p>
          <w:p w14:paraId="7920A70D"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2.5</w:t>
            </w:r>
          </w:p>
          <w:p w14:paraId="74B59FB8"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.5</w:t>
            </w:r>
          </w:p>
        </w:tc>
      </w:tr>
      <w:tr w:rsidR="003D13D4" w:rsidRPr="00A50AD6" w14:paraId="1BFC1B26" w14:textId="77777777" w:rsidTr="00077A88">
        <w:trPr>
          <w:trHeight w:val="778"/>
          <w:jc w:val="center"/>
        </w:trPr>
        <w:tc>
          <w:tcPr>
            <w:tcW w:w="1825" w:type="pct"/>
            <w:vAlign w:val="center"/>
            <w:hideMark/>
          </w:tcPr>
          <w:p w14:paraId="59755247" w14:textId="77777777" w:rsidR="00A50AD6" w:rsidRPr="00A50AD6" w:rsidRDefault="00A50AD6" w:rsidP="000719F8">
            <w:pPr>
              <w:ind w:right="14"/>
              <w:jc w:val="center"/>
              <w:rPr>
                <w:rFonts w:asciiTheme="majorBidi" w:eastAsia="Calibri" w:hAnsiTheme="majorBidi" w:cstheme="majorBidi"/>
                <w:b/>
                <w:bCs/>
                <w:i/>
                <w:iCs/>
                <w:sz w:val="18"/>
                <w:szCs w:val="18"/>
              </w:rPr>
            </w:pPr>
            <w:r w:rsidRPr="00A50AD6">
              <w:rPr>
                <w:rFonts w:asciiTheme="majorBidi" w:eastAsia="Calibri" w:hAnsiTheme="majorBidi" w:cstheme="majorBidi"/>
                <w:b/>
                <w:bCs/>
                <w:i/>
                <w:iCs/>
                <w:sz w:val="18"/>
                <w:szCs w:val="18"/>
              </w:rPr>
              <w:t>Occupation</w:t>
            </w:r>
          </w:p>
          <w:p w14:paraId="04E247F0"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Healthcare worker</w:t>
            </w:r>
          </w:p>
          <w:p w14:paraId="77EE6301"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Other jobs</w:t>
            </w:r>
          </w:p>
        </w:tc>
        <w:tc>
          <w:tcPr>
            <w:tcW w:w="2020" w:type="pct"/>
            <w:vAlign w:val="center"/>
          </w:tcPr>
          <w:p w14:paraId="0F590CA3" w14:textId="77777777" w:rsidR="00A50AD6" w:rsidRPr="00A50AD6" w:rsidRDefault="00A50AD6" w:rsidP="000719F8">
            <w:pPr>
              <w:ind w:right="14"/>
              <w:jc w:val="center"/>
              <w:rPr>
                <w:rFonts w:asciiTheme="majorBidi" w:eastAsia="Calibri" w:hAnsiTheme="majorBidi" w:cstheme="majorBidi"/>
                <w:sz w:val="18"/>
                <w:szCs w:val="18"/>
              </w:rPr>
            </w:pPr>
          </w:p>
          <w:p w14:paraId="664672A6"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169</w:t>
            </w:r>
          </w:p>
          <w:p w14:paraId="37A9354E"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431</w:t>
            </w:r>
          </w:p>
        </w:tc>
        <w:tc>
          <w:tcPr>
            <w:tcW w:w="1155" w:type="pct"/>
            <w:vAlign w:val="center"/>
          </w:tcPr>
          <w:p w14:paraId="716EB37F" w14:textId="77777777" w:rsidR="00A50AD6" w:rsidRPr="00A50AD6" w:rsidRDefault="00A50AD6" w:rsidP="000719F8">
            <w:pPr>
              <w:ind w:right="14"/>
              <w:jc w:val="center"/>
              <w:rPr>
                <w:rFonts w:asciiTheme="majorBidi" w:eastAsia="Calibri" w:hAnsiTheme="majorBidi" w:cstheme="majorBidi"/>
                <w:sz w:val="18"/>
                <w:szCs w:val="18"/>
              </w:rPr>
            </w:pPr>
          </w:p>
          <w:p w14:paraId="3EE8F7E3"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28.2</w:t>
            </w:r>
          </w:p>
          <w:p w14:paraId="0A7A96E9"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71.8</w:t>
            </w:r>
          </w:p>
        </w:tc>
      </w:tr>
      <w:tr w:rsidR="003D13D4" w:rsidRPr="00A50AD6" w14:paraId="422C17C7" w14:textId="77777777" w:rsidTr="00077A88">
        <w:trPr>
          <w:trHeight w:val="930"/>
          <w:jc w:val="center"/>
        </w:trPr>
        <w:tc>
          <w:tcPr>
            <w:tcW w:w="1825" w:type="pct"/>
            <w:vAlign w:val="center"/>
            <w:hideMark/>
          </w:tcPr>
          <w:p w14:paraId="31AA449E" w14:textId="77777777" w:rsidR="00A50AD6" w:rsidRPr="00A50AD6" w:rsidRDefault="00A50AD6" w:rsidP="000719F8">
            <w:pPr>
              <w:ind w:right="14"/>
              <w:jc w:val="center"/>
              <w:rPr>
                <w:rFonts w:asciiTheme="majorBidi" w:eastAsia="Calibri" w:hAnsiTheme="majorBidi" w:cstheme="majorBidi"/>
                <w:b/>
                <w:bCs/>
                <w:i/>
                <w:iCs/>
                <w:sz w:val="18"/>
                <w:szCs w:val="18"/>
              </w:rPr>
            </w:pPr>
            <w:r w:rsidRPr="00A50AD6">
              <w:rPr>
                <w:rFonts w:asciiTheme="majorBidi" w:eastAsia="Calibri" w:hAnsiTheme="majorBidi" w:cstheme="majorBidi"/>
                <w:b/>
                <w:bCs/>
                <w:i/>
                <w:iCs/>
                <w:sz w:val="18"/>
                <w:szCs w:val="18"/>
              </w:rPr>
              <w:t>Socioeconomic status</w:t>
            </w:r>
          </w:p>
          <w:p w14:paraId="6C1723A2"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High</w:t>
            </w:r>
          </w:p>
          <w:p w14:paraId="4EBEED92"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Middle</w:t>
            </w:r>
          </w:p>
          <w:p w14:paraId="0DACCD4A"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Low</w:t>
            </w:r>
          </w:p>
        </w:tc>
        <w:tc>
          <w:tcPr>
            <w:tcW w:w="2020" w:type="pct"/>
            <w:vAlign w:val="center"/>
          </w:tcPr>
          <w:p w14:paraId="394C3BCB" w14:textId="77777777" w:rsidR="00A50AD6" w:rsidRPr="00A50AD6" w:rsidRDefault="00A50AD6" w:rsidP="000719F8">
            <w:pPr>
              <w:ind w:right="14"/>
              <w:jc w:val="center"/>
              <w:rPr>
                <w:rFonts w:asciiTheme="majorBidi" w:eastAsia="Calibri" w:hAnsiTheme="majorBidi" w:cstheme="majorBidi"/>
                <w:sz w:val="18"/>
                <w:szCs w:val="18"/>
              </w:rPr>
            </w:pPr>
          </w:p>
          <w:p w14:paraId="3C9E9F28"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115</w:t>
            </w:r>
          </w:p>
          <w:p w14:paraId="2C4C9527"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251</w:t>
            </w:r>
          </w:p>
          <w:p w14:paraId="1102C7EC"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234</w:t>
            </w:r>
          </w:p>
        </w:tc>
        <w:tc>
          <w:tcPr>
            <w:tcW w:w="1155" w:type="pct"/>
            <w:vAlign w:val="center"/>
          </w:tcPr>
          <w:p w14:paraId="32BC588A" w14:textId="77777777" w:rsidR="00A50AD6" w:rsidRPr="00A50AD6" w:rsidRDefault="00A50AD6" w:rsidP="000719F8">
            <w:pPr>
              <w:ind w:right="14"/>
              <w:jc w:val="center"/>
              <w:rPr>
                <w:rFonts w:asciiTheme="majorBidi" w:eastAsia="Calibri" w:hAnsiTheme="majorBidi" w:cstheme="majorBidi"/>
                <w:sz w:val="18"/>
                <w:szCs w:val="18"/>
              </w:rPr>
            </w:pPr>
          </w:p>
          <w:p w14:paraId="7E9D7B9F"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19.2</w:t>
            </w:r>
          </w:p>
          <w:p w14:paraId="7A9C8CA0"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41.8</w:t>
            </w:r>
          </w:p>
          <w:p w14:paraId="62CBDEB8" w14:textId="77777777" w:rsidR="00A50AD6" w:rsidRPr="00A50AD6" w:rsidRDefault="00A50AD6" w:rsidP="000719F8">
            <w:pPr>
              <w:ind w:right="14"/>
              <w:jc w:val="center"/>
              <w:rPr>
                <w:rFonts w:asciiTheme="majorBidi" w:eastAsia="Calibri" w:hAnsiTheme="majorBidi" w:cstheme="majorBidi"/>
                <w:sz w:val="18"/>
                <w:szCs w:val="18"/>
              </w:rPr>
            </w:pPr>
            <w:r w:rsidRPr="00A50AD6">
              <w:rPr>
                <w:rFonts w:asciiTheme="majorBidi" w:eastAsia="Calibri" w:hAnsiTheme="majorBidi" w:cstheme="majorBidi"/>
                <w:sz w:val="18"/>
                <w:szCs w:val="18"/>
              </w:rPr>
              <w:t>39</w:t>
            </w:r>
          </w:p>
        </w:tc>
      </w:tr>
    </w:tbl>
    <w:p w14:paraId="30990C74" w14:textId="77777777" w:rsidR="00A50AD6" w:rsidRPr="00A50AD6" w:rsidRDefault="00A50AD6" w:rsidP="003D13D4">
      <w:pPr>
        <w:spacing w:before="240"/>
        <w:ind w:firstLine="0"/>
        <w:rPr>
          <w:rFonts w:asciiTheme="majorBidi" w:eastAsiaTheme="minorEastAsia" w:hAnsiTheme="majorBidi" w:cstheme="majorBidi"/>
          <w:sz w:val="20"/>
          <w:szCs w:val="20"/>
          <w:shd w:val="clear" w:color="auto" w:fill="FFFFFF"/>
        </w:rPr>
      </w:pPr>
      <w:r w:rsidRPr="00A50AD6">
        <w:rPr>
          <w:rFonts w:asciiTheme="majorBidi" w:eastAsiaTheme="minorEastAsia" w:hAnsiTheme="majorBidi" w:cstheme="majorBidi"/>
          <w:sz w:val="20"/>
          <w:szCs w:val="20"/>
          <w:shd w:val="clear" w:color="auto" w:fill="FFFFFF"/>
        </w:rPr>
        <w:t xml:space="preserve">This led to the development of many potent BACE1 inhibitors. Many of these drugs entered the late stages of clinical trials but failed at different stages. </w:t>
      </w:r>
      <w:proofErr w:type="spellStart"/>
      <w:r w:rsidRPr="00A50AD6">
        <w:rPr>
          <w:rFonts w:asciiTheme="majorBidi" w:eastAsiaTheme="minorEastAsia" w:hAnsiTheme="majorBidi" w:cstheme="majorBidi"/>
          <w:sz w:val="20"/>
          <w:szCs w:val="20"/>
          <w:shd w:val="clear" w:color="auto" w:fill="FFFFFF"/>
        </w:rPr>
        <w:t>Atabecestat</w:t>
      </w:r>
      <w:proofErr w:type="spellEnd"/>
      <w:r w:rsidRPr="00A50AD6">
        <w:rPr>
          <w:rFonts w:asciiTheme="majorBidi" w:eastAsiaTheme="minorEastAsia" w:hAnsiTheme="majorBidi" w:cstheme="majorBidi"/>
          <w:sz w:val="20"/>
          <w:szCs w:val="20"/>
          <w:shd w:val="clear" w:color="auto" w:fill="FFFFFF"/>
        </w:rPr>
        <w:t xml:space="preserve"> (JNJ-54861911) was developed by Janssen R&amp;D (Johnson and Johnson) as a BACE1 inhibitor for the treatment of Alzheimer’s disease. </w:t>
      </w:r>
    </w:p>
    <w:p w14:paraId="7A7F8BD7" w14:textId="77777777" w:rsidR="00A50AD6" w:rsidRPr="00A50AD6" w:rsidRDefault="00A50AD6" w:rsidP="00A50AD6">
      <w:pPr>
        <w:widowControl w:val="0"/>
        <w:shd w:val="clear" w:color="auto" w:fill="FFFFFF"/>
        <w:spacing w:before="120"/>
        <w:ind w:firstLine="0"/>
        <w:rPr>
          <w:rFonts w:asciiTheme="majorBidi" w:eastAsia="Segoe UI" w:hAnsiTheme="majorBidi" w:cstheme="majorBidi"/>
          <w:sz w:val="20"/>
          <w:szCs w:val="20"/>
        </w:rPr>
      </w:pPr>
      <w:r w:rsidRPr="00A50AD6">
        <w:rPr>
          <w:rFonts w:asciiTheme="majorBidi" w:eastAsia="Segoe UI" w:hAnsiTheme="majorBidi" w:cstheme="majorBidi"/>
          <w:sz w:val="20"/>
          <w:szCs w:val="20"/>
        </w:rPr>
        <w:t xml:space="preserve">Considering Eq. 1 as follows: </w:t>
      </w:r>
    </w:p>
    <w:p w14:paraId="0A249ECF" w14:textId="77777777" w:rsidR="00A50AD6" w:rsidRPr="00A50AD6" w:rsidRDefault="00A50AD6" w:rsidP="00A50AD6">
      <w:pPr>
        <w:widowControl w:val="0"/>
        <w:shd w:val="clear" w:color="auto" w:fill="FFFFFF"/>
        <w:spacing w:before="120"/>
        <w:ind w:firstLine="0"/>
        <w:rPr>
          <w:rFonts w:asciiTheme="majorBidi" w:eastAsia="Segoe UI" w:hAnsiTheme="majorBidi" w:cstheme="majorBidi"/>
          <w:sz w:val="20"/>
          <w:szCs w:val="20"/>
        </w:rPr>
      </w:pPr>
      <w:r w:rsidRPr="00A50AD6">
        <w:rPr>
          <w:rFonts w:asciiTheme="majorBidi" w:eastAsia="Segoe UI" w:hAnsiTheme="majorBidi" w:cstheme="majorBidi"/>
          <w:sz w:val="20"/>
          <w:szCs w:val="20"/>
        </w:rPr>
        <w:t xml:space="preserve"> </w:t>
      </w:r>
    </w:p>
    <w:tbl>
      <w:tblPr>
        <w:tblStyle w:val="TableGrid3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09"/>
      </w:tblGrid>
      <w:tr w:rsidR="00A50AD6" w:rsidRPr="00A50AD6" w14:paraId="4BBD15D7" w14:textId="77777777" w:rsidTr="003D13D4">
        <w:trPr>
          <w:trHeight w:val="557"/>
          <w:jc w:val="center"/>
        </w:trPr>
        <w:tc>
          <w:tcPr>
            <w:tcW w:w="4675" w:type="dxa"/>
            <w:vAlign w:val="center"/>
          </w:tcPr>
          <w:p w14:paraId="39ED2DA9" w14:textId="77777777" w:rsidR="00A50AD6" w:rsidRPr="00A50AD6" w:rsidRDefault="00387AD3" w:rsidP="003D13D4">
            <w:pPr>
              <w:widowControl w:val="0"/>
              <w:shd w:val="clear" w:color="auto" w:fill="FFFFFF"/>
              <w:spacing w:before="120"/>
              <w:ind w:firstLine="360"/>
              <w:rPr>
                <w:rFonts w:asciiTheme="majorBidi" w:eastAsia="Segoe UI" w:hAnsiTheme="majorBidi" w:cstheme="majorBidi"/>
                <w:lang w:val="en-CA"/>
              </w:rPr>
            </w:pPr>
            <m:oMathPara>
              <m:oMathParaPr>
                <m:jc m:val="left"/>
              </m:oMathParaPr>
              <m:oMath>
                <m:sSub>
                  <m:sSubPr>
                    <m:ctrlPr>
                      <w:rPr>
                        <w:rFonts w:ascii="Cambria Math" w:eastAsia="Segoe UI" w:hAnsi="Cambria Math" w:cstheme="majorBidi"/>
                        <w:i/>
                        <w:lang w:val="en-CA"/>
                      </w:rPr>
                    </m:ctrlPr>
                  </m:sSubPr>
                  <m:e>
                    <m:r>
                      <w:rPr>
                        <w:rFonts w:ascii="Cambria Math" w:eastAsia="Segoe UI" w:hAnsi="Cambria Math" w:cstheme="majorBidi"/>
                        <w:lang w:val="en-CA"/>
                      </w:rPr>
                      <m:t>ω</m:t>
                    </m:r>
                  </m:e>
                  <m:sub>
                    <m:r>
                      <w:rPr>
                        <w:rFonts w:ascii="Cambria Math" w:eastAsia="Segoe UI" w:hAnsi="Cambria Math" w:cstheme="majorBidi"/>
                        <w:lang w:val="en-CA"/>
                      </w:rPr>
                      <m:t>p</m:t>
                    </m:r>
                  </m:sub>
                </m:sSub>
                <m:r>
                  <w:rPr>
                    <w:rFonts w:ascii="Cambria Math" w:eastAsia="Segoe UI" w:hAnsi="Cambria Math" w:cstheme="majorBidi"/>
                    <w:lang w:val="en-CA"/>
                  </w:rPr>
                  <m:t>=</m:t>
                </m:r>
                <m:rad>
                  <m:radPr>
                    <m:degHide m:val="1"/>
                    <m:ctrlPr>
                      <w:rPr>
                        <w:rFonts w:ascii="Cambria Math" w:eastAsia="Segoe UI" w:hAnsi="Cambria Math" w:cstheme="majorBidi"/>
                        <w:i/>
                        <w:lang w:val="en-CA"/>
                      </w:rPr>
                    </m:ctrlPr>
                  </m:radPr>
                  <m:deg/>
                  <m:e>
                    <m:f>
                      <m:fPr>
                        <m:ctrlPr>
                          <w:rPr>
                            <w:rFonts w:ascii="Cambria Math" w:eastAsia="Segoe UI" w:hAnsi="Cambria Math" w:cstheme="majorBidi"/>
                            <w:i/>
                            <w:lang w:val="en-CA"/>
                          </w:rPr>
                        </m:ctrlPr>
                      </m:fPr>
                      <m:num>
                        <m:r>
                          <w:rPr>
                            <w:rFonts w:ascii="Cambria Math" w:eastAsia="Segoe UI" w:hAnsi="Cambria Math" w:cstheme="majorBidi"/>
                            <w:lang w:val="en-CA"/>
                          </w:rPr>
                          <m:t>N</m:t>
                        </m:r>
                        <m:sSup>
                          <m:sSupPr>
                            <m:ctrlPr>
                              <w:rPr>
                                <w:rFonts w:ascii="Cambria Math" w:eastAsia="Segoe UI" w:hAnsi="Cambria Math" w:cstheme="majorBidi"/>
                                <w:i/>
                                <w:lang w:val="en-CA"/>
                              </w:rPr>
                            </m:ctrlPr>
                          </m:sSupPr>
                          <m:e>
                            <m:r>
                              <w:rPr>
                                <w:rFonts w:ascii="Cambria Math" w:eastAsia="Segoe UI" w:hAnsi="Cambria Math" w:cstheme="majorBidi"/>
                                <w:lang w:val="en-CA"/>
                              </w:rPr>
                              <m:t>e</m:t>
                            </m:r>
                          </m:e>
                          <m:sup>
                            <m:r>
                              <w:rPr>
                                <w:rFonts w:ascii="Cambria Math" w:eastAsia="Segoe UI" w:hAnsi="Cambria Math" w:cstheme="majorBidi"/>
                                <w:lang w:val="en-CA"/>
                              </w:rPr>
                              <m:t>2</m:t>
                            </m:r>
                          </m:sup>
                        </m:sSup>
                      </m:num>
                      <m:den>
                        <m:sSub>
                          <m:sSubPr>
                            <m:ctrlPr>
                              <w:rPr>
                                <w:rFonts w:ascii="Cambria Math" w:eastAsia="Segoe UI" w:hAnsi="Cambria Math" w:cstheme="majorBidi"/>
                                <w:i/>
                                <w:lang w:val="en-CA"/>
                              </w:rPr>
                            </m:ctrlPr>
                          </m:sSubPr>
                          <m:e>
                            <m:r>
                              <w:rPr>
                                <w:rFonts w:ascii="Cambria Math" w:eastAsia="Segoe UI" w:hAnsi="Cambria Math" w:cstheme="majorBidi"/>
                                <w:lang w:val="en-CA"/>
                              </w:rPr>
                              <m:t>ε</m:t>
                            </m:r>
                          </m:e>
                          <m:sub>
                            <m:r>
                              <w:rPr>
                                <w:rFonts w:ascii="Cambria Math" w:eastAsia="Segoe UI" w:hAnsi="Cambria Math" w:cstheme="majorBidi"/>
                                <w:lang w:val="en-CA"/>
                              </w:rPr>
                              <m:t>0</m:t>
                            </m:r>
                          </m:sub>
                        </m:sSub>
                        <m:sSup>
                          <m:sSupPr>
                            <m:ctrlPr>
                              <w:rPr>
                                <w:rFonts w:ascii="Cambria Math" w:eastAsia="Segoe UI" w:hAnsi="Cambria Math" w:cstheme="majorBidi"/>
                                <w:i/>
                                <w:lang w:val="en-CA"/>
                              </w:rPr>
                            </m:ctrlPr>
                          </m:sSupPr>
                          <m:e>
                            <m:r>
                              <w:rPr>
                                <w:rFonts w:ascii="Cambria Math" w:eastAsia="Segoe UI" w:hAnsi="Cambria Math" w:cstheme="majorBidi"/>
                                <w:lang w:val="en-CA"/>
                              </w:rPr>
                              <m:t>m</m:t>
                            </m:r>
                          </m:e>
                          <m:sup>
                            <m:r>
                              <w:rPr>
                                <w:rFonts w:ascii="Cambria Math" w:eastAsia="Segoe UI" w:hAnsi="Cambria Math" w:cstheme="majorBidi"/>
                                <w:lang w:val="en-CA"/>
                              </w:rPr>
                              <m:t>*</m:t>
                            </m:r>
                          </m:sup>
                        </m:sSup>
                      </m:den>
                    </m:f>
                  </m:e>
                </m:rad>
              </m:oMath>
            </m:oMathPara>
          </w:p>
        </w:tc>
        <w:tc>
          <w:tcPr>
            <w:tcW w:w="4675" w:type="dxa"/>
            <w:vAlign w:val="center"/>
          </w:tcPr>
          <w:p w14:paraId="5AFD8AA7" w14:textId="77777777" w:rsidR="00A50AD6" w:rsidRPr="00A50AD6" w:rsidRDefault="00A50AD6" w:rsidP="003D13D4">
            <w:pPr>
              <w:widowControl w:val="0"/>
              <w:shd w:val="clear" w:color="auto" w:fill="FFFFFF"/>
              <w:bidi/>
              <w:spacing w:before="120"/>
              <w:ind w:firstLine="360"/>
              <w:rPr>
                <w:rFonts w:asciiTheme="majorBidi" w:eastAsia="Segoe UI" w:hAnsiTheme="majorBidi" w:cstheme="majorBidi"/>
                <w:lang w:val="en-CA"/>
              </w:rPr>
            </w:pPr>
            <w:r w:rsidRPr="00A50AD6">
              <w:rPr>
                <w:rFonts w:asciiTheme="majorBidi" w:eastAsia="Segoe UI" w:hAnsiTheme="majorBidi" w:cstheme="majorBidi"/>
                <w:lang w:val="en-CA"/>
              </w:rPr>
              <w:t>(1)</w:t>
            </w:r>
          </w:p>
        </w:tc>
      </w:tr>
    </w:tbl>
    <w:p w14:paraId="2FFBA589" w14:textId="77777777" w:rsidR="00A50AD6" w:rsidRPr="00A50AD6" w:rsidRDefault="00A50AD6" w:rsidP="00A50AD6">
      <w:pPr>
        <w:ind w:firstLine="0"/>
        <w:rPr>
          <w:rFonts w:asciiTheme="majorBidi" w:eastAsiaTheme="minorEastAsia" w:hAnsiTheme="majorBidi" w:cstheme="majorBidi"/>
          <w:sz w:val="20"/>
          <w:szCs w:val="20"/>
          <w:shd w:val="clear" w:color="auto" w:fill="FFFFFF"/>
        </w:rPr>
      </w:pPr>
    </w:p>
    <w:p w14:paraId="640A36BC" w14:textId="77777777" w:rsidR="00A50AD6" w:rsidRPr="00A50AD6" w:rsidRDefault="00A50AD6" w:rsidP="00A50AD6">
      <w:pPr>
        <w:ind w:firstLine="0"/>
        <w:rPr>
          <w:rFonts w:asciiTheme="majorBidi" w:eastAsiaTheme="minorEastAsia" w:hAnsiTheme="majorBidi" w:cstheme="majorBidi"/>
          <w:sz w:val="20"/>
          <w:szCs w:val="20"/>
          <w:shd w:val="clear" w:color="auto" w:fill="FFFFFF"/>
          <w:vertAlign w:val="superscript"/>
        </w:rPr>
      </w:pPr>
      <w:r w:rsidRPr="00A50AD6">
        <w:rPr>
          <w:rFonts w:asciiTheme="majorBidi" w:eastAsiaTheme="minorEastAsia" w:hAnsiTheme="majorBidi" w:cstheme="majorBidi"/>
          <w:sz w:val="20"/>
          <w:szCs w:val="20"/>
          <w:shd w:val="clear" w:color="auto" w:fill="FFFFFF"/>
        </w:rPr>
        <w:t xml:space="preserve">In 2013, </w:t>
      </w:r>
      <w:proofErr w:type="spellStart"/>
      <w:r w:rsidRPr="00A50AD6">
        <w:rPr>
          <w:rFonts w:asciiTheme="majorBidi" w:eastAsiaTheme="minorEastAsia" w:hAnsiTheme="majorBidi" w:cstheme="majorBidi"/>
          <w:sz w:val="20"/>
          <w:szCs w:val="20"/>
          <w:shd w:val="clear" w:color="auto" w:fill="FFFFFF"/>
        </w:rPr>
        <w:t>atabecestat</w:t>
      </w:r>
      <w:proofErr w:type="spellEnd"/>
      <w:r w:rsidRPr="00A50AD6">
        <w:rPr>
          <w:rFonts w:asciiTheme="majorBidi" w:eastAsiaTheme="minorEastAsia" w:hAnsiTheme="majorBidi" w:cstheme="majorBidi"/>
          <w:sz w:val="20"/>
          <w:szCs w:val="20"/>
          <w:shd w:val="clear" w:color="auto" w:fill="FFFFFF"/>
        </w:rPr>
        <w:t xml:space="preserve"> enters phase 1 trials. The study initiated to evaluate the safety and tolerability of the drug in healthy older people (</w:t>
      </w:r>
      <w:hyperlink r:id="rId12" w:history="1">
        <w:r w:rsidRPr="008F7C69">
          <w:rPr>
            <w:rFonts w:asciiTheme="majorBidi" w:eastAsiaTheme="minorEastAsia" w:hAnsiTheme="majorBidi" w:cstheme="majorBidi"/>
            <w:sz w:val="20"/>
            <w:szCs w:val="20"/>
            <w:bdr w:val="none" w:sz="0" w:space="0" w:color="auto" w:frame="1"/>
            <w:shd w:val="clear" w:color="auto" w:fill="FFFFFF"/>
          </w:rPr>
          <w:t>NCT01887535</w:t>
        </w:r>
      </w:hyperlink>
      <w:r w:rsidRPr="00A50AD6">
        <w:rPr>
          <w:rFonts w:asciiTheme="majorBidi" w:eastAsiaTheme="minorEastAsia" w:hAnsiTheme="majorBidi" w:cstheme="majorBidi"/>
          <w:sz w:val="20"/>
          <w:szCs w:val="20"/>
          <w:shd w:val="clear" w:color="auto" w:fill="FFFFFF"/>
        </w:rPr>
        <w:t xml:space="preserve">), Janssen discovered that </w:t>
      </w:r>
      <w:proofErr w:type="spellStart"/>
      <w:r w:rsidRPr="00A50AD6">
        <w:rPr>
          <w:rFonts w:asciiTheme="majorBidi" w:eastAsiaTheme="minorEastAsia" w:hAnsiTheme="majorBidi" w:cstheme="majorBidi"/>
          <w:sz w:val="20"/>
          <w:szCs w:val="20"/>
          <w:shd w:val="clear" w:color="auto" w:fill="FFFFFF"/>
        </w:rPr>
        <w:t>atabecestat</w:t>
      </w:r>
      <w:proofErr w:type="spellEnd"/>
      <w:r w:rsidRPr="00A50AD6">
        <w:rPr>
          <w:rFonts w:asciiTheme="majorBidi" w:eastAsiaTheme="minorEastAsia" w:hAnsiTheme="majorBidi" w:cstheme="majorBidi"/>
          <w:sz w:val="20"/>
          <w:szCs w:val="20"/>
          <w:shd w:val="clear" w:color="auto" w:fill="FFFFFF"/>
        </w:rPr>
        <w:t xml:space="preserve"> lowered levels of beta-amyloid in CSF in the brain and spinal cord. Another trial evaluated the drug’s safety and tolerability and ability of the drug to lower β-amyloid levels in CSF, in subjects who are at risk of developing the disease but with no symptoms (</w:t>
      </w:r>
      <w:hyperlink r:id="rId13" w:history="1">
        <w:r w:rsidRPr="008F7C69">
          <w:rPr>
            <w:rFonts w:asciiTheme="majorBidi" w:eastAsiaTheme="minorEastAsia" w:hAnsiTheme="majorBidi" w:cstheme="majorBidi"/>
            <w:sz w:val="20"/>
            <w:szCs w:val="20"/>
            <w:bdr w:val="none" w:sz="0" w:space="0" w:color="auto" w:frame="1"/>
            <w:shd w:val="clear" w:color="auto" w:fill="FFFFFF"/>
          </w:rPr>
          <w:t>NCT02360657</w:t>
        </w:r>
      </w:hyperlink>
      <w:r w:rsidRPr="00A50AD6">
        <w:rPr>
          <w:rFonts w:asciiTheme="majorBidi" w:eastAsiaTheme="minorEastAsia" w:hAnsiTheme="majorBidi" w:cstheme="majorBidi"/>
          <w:sz w:val="20"/>
          <w:szCs w:val="20"/>
          <w:shd w:val="clear" w:color="auto" w:fill="FFFFFF"/>
        </w:rPr>
        <w:t xml:space="preserve">). No results were published after the completion of that study. Phase 2 trial of </w:t>
      </w:r>
      <w:proofErr w:type="spellStart"/>
      <w:r w:rsidRPr="00A50AD6">
        <w:rPr>
          <w:rFonts w:asciiTheme="majorBidi" w:eastAsiaTheme="minorEastAsia" w:hAnsiTheme="majorBidi" w:cstheme="majorBidi"/>
          <w:sz w:val="20"/>
          <w:szCs w:val="20"/>
          <w:shd w:val="clear" w:color="auto" w:fill="FFFFFF"/>
        </w:rPr>
        <w:t>atabecestat</w:t>
      </w:r>
      <w:proofErr w:type="spellEnd"/>
      <w:r w:rsidRPr="00A50AD6">
        <w:rPr>
          <w:rFonts w:asciiTheme="majorBidi" w:eastAsiaTheme="minorEastAsia" w:hAnsiTheme="majorBidi" w:cstheme="majorBidi"/>
          <w:sz w:val="20"/>
          <w:szCs w:val="20"/>
          <w:shd w:val="clear" w:color="auto" w:fill="FFFFFF"/>
        </w:rPr>
        <w:t xml:space="preserve"> (</w:t>
      </w:r>
      <w:hyperlink r:id="rId14" w:history="1">
        <w:r w:rsidRPr="008F7C69">
          <w:rPr>
            <w:rFonts w:asciiTheme="majorBidi" w:eastAsiaTheme="minorEastAsia" w:hAnsiTheme="majorBidi" w:cstheme="majorBidi"/>
            <w:sz w:val="20"/>
            <w:szCs w:val="20"/>
            <w:bdr w:val="none" w:sz="0" w:space="0" w:color="auto" w:frame="1"/>
            <w:shd w:val="clear" w:color="auto" w:fill="FFFFFF"/>
          </w:rPr>
          <w:t>NCT02406027</w:t>
        </w:r>
      </w:hyperlink>
      <w:r w:rsidRPr="00A50AD6">
        <w:rPr>
          <w:rFonts w:asciiTheme="majorBidi" w:eastAsiaTheme="minorEastAsia" w:hAnsiTheme="majorBidi" w:cstheme="majorBidi"/>
          <w:sz w:val="20"/>
          <w:szCs w:val="20"/>
          <w:shd w:val="clear" w:color="auto" w:fill="FFFFFF"/>
        </w:rPr>
        <w:t>) initiated to evaluate the drug’s safety in patients who were at an early stage of the disease. Patients, who completed phase 1b/II trials and wish to continue treatment, were enrolled in the study. Another phase 2b/ III trial was conducted by Janssen (</w:t>
      </w:r>
      <w:hyperlink r:id="rId15" w:history="1">
        <w:r w:rsidRPr="008F7C69">
          <w:rPr>
            <w:rFonts w:asciiTheme="majorBidi" w:eastAsiaTheme="minorEastAsia" w:hAnsiTheme="majorBidi" w:cstheme="majorBidi"/>
            <w:sz w:val="20"/>
            <w:szCs w:val="20"/>
            <w:bdr w:val="none" w:sz="0" w:space="0" w:color="auto" w:frame="1"/>
            <w:shd w:val="clear" w:color="auto" w:fill="FFFFFF"/>
          </w:rPr>
          <w:t>NCT02569398</w:t>
        </w:r>
      </w:hyperlink>
      <w:r w:rsidRPr="00A50AD6">
        <w:rPr>
          <w:rFonts w:asciiTheme="majorBidi" w:eastAsiaTheme="minorEastAsia" w:hAnsiTheme="majorBidi" w:cstheme="majorBidi"/>
          <w:sz w:val="20"/>
          <w:szCs w:val="20"/>
          <w:shd w:val="clear" w:color="auto" w:fill="FFFFFF"/>
        </w:rPr>
        <w:t xml:space="preserve">), to compare the ability of the drug in 596 subjects with no symptoms but who were at risk of developing AD. Further clinical development of </w:t>
      </w:r>
      <w:proofErr w:type="spellStart"/>
      <w:r w:rsidRPr="00A50AD6">
        <w:rPr>
          <w:rFonts w:asciiTheme="majorBidi" w:eastAsiaTheme="minorEastAsia" w:hAnsiTheme="majorBidi" w:cstheme="majorBidi"/>
          <w:sz w:val="20"/>
          <w:szCs w:val="20"/>
          <w:shd w:val="clear" w:color="auto" w:fill="FFFFFF"/>
        </w:rPr>
        <w:t>atabecestat</w:t>
      </w:r>
      <w:proofErr w:type="spellEnd"/>
      <w:r w:rsidRPr="00A50AD6">
        <w:rPr>
          <w:rFonts w:asciiTheme="majorBidi" w:eastAsiaTheme="minorEastAsia" w:hAnsiTheme="majorBidi" w:cstheme="majorBidi"/>
          <w:sz w:val="20"/>
          <w:szCs w:val="20"/>
          <w:shd w:val="clear" w:color="auto" w:fill="FFFFFF"/>
        </w:rPr>
        <w:t xml:space="preserve"> was halted by Janssen and both phase </w:t>
      </w:r>
      <w:proofErr w:type="spellStart"/>
      <w:r w:rsidRPr="00A50AD6">
        <w:rPr>
          <w:rFonts w:asciiTheme="majorBidi" w:eastAsiaTheme="minorEastAsia" w:hAnsiTheme="majorBidi" w:cstheme="majorBidi"/>
          <w:sz w:val="20"/>
          <w:szCs w:val="20"/>
          <w:shd w:val="clear" w:color="auto" w:fill="FFFFFF"/>
        </w:rPr>
        <w:t>IIb</w:t>
      </w:r>
      <w:proofErr w:type="spellEnd"/>
      <w:r w:rsidRPr="00A50AD6">
        <w:rPr>
          <w:rFonts w:asciiTheme="majorBidi" w:eastAsiaTheme="minorEastAsia" w:hAnsiTheme="majorBidi" w:cstheme="majorBidi"/>
          <w:sz w:val="20"/>
          <w:szCs w:val="20"/>
          <w:shd w:val="clear" w:color="auto" w:fill="FFFFFF"/>
        </w:rPr>
        <w:t>/III and phase 2 studies were stopped after the elevation of liver enzymes in study participants.</w:t>
      </w:r>
    </w:p>
    <w:p w14:paraId="76E2AC73" w14:textId="77777777" w:rsidR="00A50AD6" w:rsidRPr="00A50AD6" w:rsidRDefault="003D13D4" w:rsidP="003D13D4">
      <w:pPr>
        <w:spacing w:before="240" w:after="240"/>
        <w:ind w:firstLine="0"/>
        <w:rPr>
          <w:rFonts w:asciiTheme="majorBidi" w:eastAsia="Arial" w:hAnsiTheme="majorBidi" w:cstheme="majorBidi"/>
          <w:color w:val="44A6AD"/>
          <w:sz w:val="20"/>
          <w:szCs w:val="20"/>
        </w:rPr>
      </w:pPr>
      <w:r w:rsidRPr="003D13D4">
        <w:rPr>
          <w:rFonts w:asciiTheme="majorBidi" w:eastAsia="Calibri" w:hAnsiTheme="majorBidi" w:cstheme="majorBidi"/>
          <w:b/>
          <w:color w:val="000000" w:themeColor="text1"/>
          <w:sz w:val="20"/>
        </w:rPr>
        <w:t>Conclusion</w:t>
      </w:r>
    </w:p>
    <w:p w14:paraId="70FEB607" w14:textId="77777777" w:rsidR="00A50AD6" w:rsidRPr="00A50AD6" w:rsidRDefault="00A50AD6" w:rsidP="003D13D4">
      <w:pPr>
        <w:autoSpaceDE w:val="0"/>
        <w:autoSpaceDN w:val="0"/>
        <w:adjustRightInd w:val="0"/>
        <w:ind w:firstLine="0"/>
        <w:contextualSpacing/>
        <w:rPr>
          <w:rFonts w:asciiTheme="majorBidi" w:eastAsiaTheme="minorEastAsia" w:hAnsiTheme="majorBidi" w:cstheme="majorBidi"/>
          <w:sz w:val="20"/>
          <w:szCs w:val="20"/>
        </w:rPr>
      </w:pPr>
      <w:r w:rsidRPr="00A50AD6">
        <w:rPr>
          <w:rFonts w:asciiTheme="majorBidi" w:eastAsiaTheme="minorEastAsia" w:hAnsiTheme="majorBidi" w:cstheme="majorBidi"/>
          <w:sz w:val="20"/>
          <w:szCs w:val="20"/>
        </w:rPr>
        <w:t xml:space="preserve">Around 50 % of investigational drugs/products failed during the development phase, during or after clinical trials. We believe that the current clinical trial failure rate is unacceptably high. It is essential to understand the factors and root causes behind these failures. We carried out this review for a better understanding of clinical trial failure as the majority of failed trials are not published in journals. In our study, we briefly explained clinical trial phases, enlisted factors which are the major cause, and the consequences of clinical trial failure. Also, we highlighted </w:t>
      </w:r>
      <w:r w:rsidRPr="00A50AD6">
        <w:rPr>
          <w:rFonts w:asciiTheme="majorBidi" w:eastAsiaTheme="minorEastAsia" w:hAnsiTheme="majorBidi" w:cstheme="majorBidi"/>
          <w:sz w:val="20"/>
          <w:szCs w:val="20"/>
        </w:rPr>
        <w:lastRenderedPageBreak/>
        <w:t>some examples of major clinical trials failure and some strategies which are being implemented by biopharmaceutical companies to increase chances of trial success rate.</w:t>
      </w:r>
    </w:p>
    <w:p w14:paraId="769A2D4A" w14:textId="77777777" w:rsidR="00A50AD6" w:rsidRPr="00A50AD6" w:rsidRDefault="003D13D4" w:rsidP="003D13D4">
      <w:pPr>
        <w:spacing w:before="240" w:after="240"/>
        <w:ind w:firstLine="0"/>
        <w:rPr>
          <w:rFonts w:asciiTheme="majorBidi" w:eastAsia="Arial" w:hAnsiTheme="majorBidi" w:cstheme="majorBidi"/>
          <w:color w:val="000000" w:themeColor="text1"/>
          <w:sz w:val="20"/>
          <w:szCs w:val="20"/>
        </w:rPr>
      </w:pPr>
      <w:r w:rsidRPr="003D13D4">
        <w:rPr>
          <w:rFonts w:asciiTheme="majorBidi" w:eastAsia="Calibri" w:hAnsiTheme="majorBidi" w:cstheme="majorBidi"/>
          <w:b/>
          <w:color w:val="000000" w:themeColor="text1"/>
          <w:sz w:val="20"/>
        </w:rPr>
        <w:t>Acknowledgments</w:t>
      </w:r>
      <w:r w:rsidR="00A50AD6" w:rsidRPr="00A50AD6">
        <w:rPr>
          <w:rFonts w:asciiTheme="majorBidi" w:eastAsia="Arial" w:hAnsiTheme="majorBidi" w:cstheme="majorBidi"/>
          <w:b/>
          <w:bCs/>
          <w:color w:val="000000" w:themeColor="text1"/>
          <w:sz w:val="20"/>
          <w:szCs w:val="20"/>
        </w:rPr>
        <w:t>:</w:t>
      </w:r>
      <w:r w:rsidR="00A50AD6" w:rsidRPr="00A50AD6">
        <w:rPr>
          <w:rFonts w:asciiTheme="majorBidi" w:eastAsia="Arial" w:hAnsiTheme="majorBidi" w:cstheme="majorBidi"/>
          <w:color w:val="000000" w:themeColor="text1"/>
          <w:sz w:val="20"/>
          <w:szCs w:val="20"/>
        </w:rPr>
        <w:t xml:space="preserve"> None</w:t>
      </w:r>
    </w:p>
    <w:p w14:paraId="13C86EBD" w14:textId="77777777" w:rsidR="00A50AD6" w:rsidRPr="00A50AD6" w:rsidRDefault="003D13D4" w:rsidP="003D13D4">
      <w:pPr>
        <w:spacing w:before="240" w:after="240"/>
        <w:ind w:firstLine="0"/>
        <w:rPr>
          <w:rFonts w:asciiTheme="majorBidi" w:eastAsia="Arial" w:hAnsiTheme="majorBidi" w:cstheme="majorBidi"/>
          <w:color w:val="000000" w:themeColor="text1"/>
          <w:sz w:val="20"/>
          <w:szCs w:val="20"/>
        </w:rPr>
      </w:pPr>
      <w:r w:rsidRPr="003D13D4">
        <w:rPr>
          <w:rFonts w:asciiTheme="majorBidi" w:eastAsia="Arial" w:hAnsiTheme="majorBidi" w:cstheme="majorBidi"/>
          <w:b/>
          <w:bCs/>
          <w:color w:val="000000" w:themeColor="text1"/>
          <w:sz w:val="20"/>
          <w:szCs w:val="20"/>
        </w:rPr>
        <w:t>Conflict of Interest</w:t>
      </w:r>
      <w:r w:rsidR="00A50AD6" w:rsidRPr="00A50AD6">
        <w:rPr>
          <w:rFonts w:asciiTheme="majorBidi" w:eastAsia="Arial" w:hAnsiTheme="majorBidi" w:cstheme="majorBidi"/>
          <w:b/>
          <w:bCs/>
          <w:color w:val="000000" w:themeColor="text1"/>
          <w:sz w:val="20"/>
          <w:szCs w:val="20"/>
        </w:rPr>
        <w:t>:</w:t>
      </w:r>
      <w:r w:rsidR="00A50AD6" w:rsidRPr="00A50AD6">
        <w:rPr>
          <w:rFonts w:asciiTheme="majorBidi" w:eastAsia="Arial" w:hAnsiTheme="majorBidi" w:cstheme="majorBidi"/>
          <w:color w:val="000000" w:themeColor="text1"/>
          <w:sz w:val="20"/>
          <w:szCs w:val="20"/>
        </w:rPr>
        <w:t xml:space="preserve"> None</w:t>
      </w:r>
    </w:p>
    <w:p w14:paraId="0B4D1012" w14:textId="77777777" w:rsidR="00A50AD6" w:rsidRPr="00A50AD6" w:rsidRDefault="003D13D4" w:rsidP="003D13D4">
      <w:pPr>
        <w:spacing w:before="240" w:after="240"/>
        <w:ind w:firstLine="0"/>
        <w:rPr>
          <w:rFonts w:asciiTheme="majorBidi" w:eastAsia="Arial" w:hAnsiTheme="majorBidi" w:cstheme="majorBidi"/>
          <w:color w:val="000000" w:themeColor="text1"/>
          <w:sz w:val="20"/>
          <w:szCs w:val="20"/>
        </w:rPr>
      </w:pPr>
      <w:r w:rsidRPr="00A50AD6">
        <w:rPr>
          <w:rFonts w:asciiTheme="majorBidi" w:eastAsia="Arial" w:hAnsiTheme="majorBidi" w:cstheme="majorBidi"/>
          <w:b/>
          <w:bCs/>
          <w:color w:val="000000" w:themeColor="text1"/>
          <w:sz w:val="20"/>
          <w:szCs w:val="20"/>
        </w:rPr>
        <w:t>Financial Support:</w:t>
      </w:r>
      <w:r w:rsidRPr="00A50AD6">
        <w:rPr>
          <w:rFonts w:asciiTheme="majorBidi" w:eastAsia="Arial" w:hAnsiTheme="majorBidi" w:cstheme="majorBidi"/>
          <w:color w:val="000000" w:themeColor="text1"/>
          <w:sz w:val="20"/>
          <w:szCs w:val="20"/>
        </w:rPr>
        <w:t xml:space="preserve"> </w:t>
      </w:r>
      <w:r w:rsidR="00A50AD6" w:rsidRPr="00A50AD6">
        <w:rPr>
          <w:rFonts w:asciiTheme="majorBidi" w:eastAsia="Arial" w:hAnsiTheme="majorBidi" w:cstheme="majorBidi"/>
          <w:color w:val="000000" w:themeColor="text1"/>
          <w:sz w:val="20"/>
          <w:szCs w:val="20"/>
        </w:rPr>
        <w:t>None</w:t>
      </w:r>
    </w:p>
    <w:p w14:paraId="266E39FD" w14:textId="77777777" w:rsidR="00A50AD6" w:rsidRDefault="003D13D4" w:rsidP="003D13D4">
      <w:pPr>
        <w:spacing w:before="240" w:after="240"/>
        <w:ind w:firstLine="0"/>
        <w:rPr>
          <w:rFonts w:asciiTheme="majorBidi" w:eastAsia="Arial" w:hAnsiTheme="majorBidi" w:cstheme="majorBidi"/>
          <w:color w:val="000000" w:themeColor="text1"/>
          <w:sz w:val="20"/>
          <w:szCs w:val="20"/>
        </w:rPr>
      </w:pPr>
      <w:r w:rsidRPr="003D13D4">
        <w:rPr>
          <w:rFonts w:asciiTheme="majorBidi" w:eastAsia="Arial" w:hAnsiTheme="majorBidi" w:cstheme="majorBidi"/>
          <w:b/>
          <w:bCs/>
          <w:color w:val="000000" w:themeColor="text1"/>
          <w:sz w:val="20"/>
          <w:szCs w:val="20"/>
        </w:rPr>
        <w:t xml:space="preserve">Ethics </w:t>
      </w:r>
      <w:r w:rsidRPr="003D13D4">
        <w:rPr>
          <w:rFonts w:asciiTheme="majorBidi" w:eastAsia="Calibri" w:hAnsiTheme="majorBidi" w:cstheme="majorBidi"/>
          <w:b/>
          <w:color w:val="000000" w:themeColor="text1"/>
          <w:sz w:val="20"/>
        </w:rPr>
        <w:t>Statement</w:t>
      </w:r>
      <w:r w:rsidRPr="003D13D4">
        <w:rPr>
          <w:rFonts w:asciiTheme="majorBidi" w:eastAsia="Arial" w:hAnsiTheme="majorBidi" w:cstheme="majorBidi"/>
          <w:b/>
          <w:bCs/>
          <w:color w:val="000000" w:themeColor="text1"/>
          <w:sz w:val="20"/>
          <w:szCs w:val="20"/>
        </w:rPr>
        <w:t>:</w:t>
      </w:r>
      <w:r w:rsidRPr="003D13D4">
        <w:rPr>
          <w:rFonts w:asciiTheme="majorBidi" w:eastAsia="Arial" w:hAnsiTheme="majorBidi" w:cstheme="majorBidi"/>
          <w:color w:val="000000" w:themeColor="text1"/>
          <w:sz w:val="20"/>
          <w:szCs w:val="20"/>
        </w:rPr>
        <w:t xml:space="preserve"> </w:t>
      </w:r>
      <w:r w:rsidR="00A50AD6" w:rsidRPr="003D13D4">
        <w:rPr>
          <w:rFonts w:asciiTheme="majorBidi" w:eastAsia="Arial" w:hAnsiTheme="majorBidi" w:cstheme="majorBidi"/>
          <w:color w:val="000000" w:themeColor="text1"/>
          <w:sz w:val="20"/>
          <w:szCs w:val="20"/>
        </w:rPr>
        <w:t>None</w:t>
      </w:r>
    </w:p>
    <w:p w14:paraId="6DB36245" w14:textId="77777777" w:rsidR="003D13D4" w:rsidRPr="00032622" w:rsidRDefault="004C2C5A" w:rsidP="003D13D4">
      <w:pPr>
        <w:spacing w:before="240" w:after="240"/>
        <w:ind w:firstLine="0"/>
        <w:rPr>
          <w:rFonts w:ascii="Cambria" w:hAnsi="Cambria" w:cs="Times-Roman"/>
          <w:b/>
          <w:color w:val="002060"/>
          <w:sz w:val="20"/>
        </w:rPr>
      </w:pPr>
      <w:r w:rsidRPr="004C2C5A">
        <w:rPr>
          <w:rFonts w:asciiTheme="majorBidi" w:hAnsiTheme="majorBidi" w:cstheme="majorBidi"/>
          <w:b/>
          <w:color w:val="000000" w:themeColor="text1"/>
          <w:sz w:val="20"/>
        </w:rPr>
        <w:t>References</w:t>
      </w:r>
    </w:p>
    <w:p w14:paraId="15CDD639" w14:textId="77777777" w:rsidR="003D13D4" w:rsidRPr="003D13D4" w:rsidRDefault="003D13D4" w:rsidP="003D13D4">
      <w:pPr>
        <w:pStyle w:val="ListParagraph"/>
        <w:numPr>
          <w:ilvl w:val="0"/>
          <w:numId w:val="4"/>
        </w:numPr>
        <w:spacing w:line="276" w:lineRule="auto"/>
        <w:ind w:left="426" w:hanging="426"/>
        <w:jc w:val="both"/>
        <w:rPr>
          <w:rFonts w:ascii="Times New Roman" w:hAnsi="Times New Roman" w:cs="Times New Roman"/>
          <w:color w:val="000000" w:themeColor="text1"/>
          <w:sz w:val="20"/>
          <w:szCs w:val="20"/>
          <w:lang w:val="en-MY" w:eastAsia="ja-JP"/>
        </w:rPr>
      </w:pPr>
      <w:commentRangeStart w:id="5"/>
      <w:r w:rsidRPr="003D13D4">
        <w:rPr>
          <w:rFonts w:ascii="Times New Roman" w:hAnsi="Times New Roman" w:cs="Times New Roman"/>
          <w:color w:val="000000" w:themeColor="text1"/>
          <w:sz w:val="20"/>
          <w:szCs w:val="20"/>
          <w:lang w:eastAsia="ja-JP"/>
        </w:rPr>
        <w:t>Petitti DB, Crooks VC, Buckwalter JG, Chiu V. Blood pressure levels before dementia. Arch Neurol. 2005 Jan;62(1):112-6.</w:t>
      </w:r>
      <w:commentRangeEnd w:id="5"/>
      <w:r w:rsidRPr="005F62EC">
        <w:rPr>
          <w:lang w:eastAsia="ja-JP"/>
        </w:rPr>
        <w:commentReference w:id="5"/>
      </w:r>
    </w:p>
    <w:p w14:paraId="14A00494" w14:textId="77777777" w:rsidR="003D13D4" w:rsidRPr="003D13D4" w:rsidRDefault="003D13D4" w:rsidP="003D13D4">
      <w:pPr>
        <w:pStyle w:val="ListParagraph"/>
        <w:numPr>
          <w:ilvl w:val="0"/>
          <w:numId w:val="4"/>
        </w:numPr>
        <w:spacing w:line="276" w:lineRule="auto"/>
        <w:ind w:left="426" w:hanging="426"/>
        <w:jc w:val="both"/>
        <w:rPr>
          <w:rFonts w:ascii="Times New Roman" w:hAnsi="Times New Roman" w:cs="Times New Roman"/>
          <w:color w:val="000000" w:themeColor="text1"/>
          <w:sz w:val="20"/>
          <w:szCs w:val="20"/>
          <w:lang w:val="en-MY" w:eastAsia="ja-JP"/>
        </w:rPr>
      </w:pPr>
      <w:commentRangeStart w:id="6"/>
      <w:r w:rsidRPr="003D13D4">
        <w:rPr>
          <w:rFonts w:ascii="Times New Roman" w:hAnsi="Times New Roman" w:cs="Times New Roman"/>
          <w:color w:val="000000" w:themeColor="text1"/>
          <w:sz w:val="20"/>
          <w:szCs w:val="20"/>
          <w:lang w:eastAsia="ja-JP"/>
        </w:rPr>
        <w:t>Hallal AH, Amortegui JD, Jeroukhimov IM, Casillas J, Schulman CI, Manning RJ, et al. Magnetic resonance cholangiopancreatography accurately detects common bile duct stones in resolving gallstone pancreatitis. J Am Coll Surg. 2005 Jun;200(6):869-75.</w:t>
      </w:r>
      <w:commentRangeEnd w:id="6"/>
      <w:r w:rsidRPr="005F62EC">
        <w:rPr>
          <w:lang w:eastAsia="ja-JP"/>
        </w:rPr>
        <w:commentReference w:id="6"/>
      </w:r>
    </w:p>
    <w:p w14:paraId="59DC5A43" w14:textId="77777777" w:rsidR="003D13D4" w:rsidRPr="003D13D4" w:rsidRDefault="003D13D4" w:rsidP="003D13D4">
      <w:pPr>
        <w:pStyle w:val="ListParagraph"/>
        <w:numPr>
          <w:ilvl w:val="0"/>
          <w:numId w:val="4"/>
        </w:numPr>
        <w:spacing w:line="276" w:lineRule="auto"/>
        <w:ind w:left="426" w:hanging="426"/>
        <w:jc w:val="both"/>
        <w:rPr>
          <w:rFonts w:ascii="Times New Roman" w:hAnsi="Times New Roman" w:cs="Times New Roman"/>
          <w:color w:val="000000" w:themeColor="text1"/>
          <w:sz w:val="20"/>
          <w:szCs w:val="20"/>
          <w:lang w:val="en-MY" w:eastAsia="ja-JP"/>
        </w:rPr>
      </w:pPr>
      <w:commentRangeStart w:id="7"/>
      <w:r w:rsidRPr="003D13D4">
        <w:rPr>
          <w:rFonts w:ascii="Times New Roman" w:hAnsi="Times New Roman" w:cs="Times New Roman"/>
          <w:color w:val="000000" w:themeColor="text1"/>
          <w:sz w:val="20"/>
          <w:szCs w:val="20"/>
          <w:lang w:eastAsia="ja-JP"/>
        </w:rPr>
        <w:t>Stockhausen L, Turale S. An explorative study of Australian nursing scholars and contemporary scholarship. J Nurs Scholarsh [Internet]. 2011 Mar [cited 2013 Feb 19];43(1):89-96. Available from: http://search.proquest.com/docview/ 858241255</w:t>
      </w:r>
      <w:commentRangeEnd w:id="7"/>
      <w:r w:rsidRPr="005F62EC">
        <w:rPr>
          <w:lang w:eastAsia="ja-JP"/>
        </w:rPr>
        <w:commentReference w:id="7"/>
      </w:r>
    </w:p>
    <w:p w14:paraId="757F9487" w14:textId="77777777" w:rsidR="003D13D4" w:rsidRPr="003D13D4" w:rsidRDefault="003D13D4" w:rsidP="003D13D4">
      <w:pPr>
        <w:pStyle w:val="ListParagraph"/>
        <w:numPr>
          <w:ilvl w:val="0"/>
          <w:numId w:val="4"/>
        </w:numPr>
        <w:spacing w:line="276" w:lineRule="auto"/>
        <w:ind w:left="426" w:hanging="426"/>
        <w:jc w:val="both"/>
        <w:rPr>
          <w:rFonts w:ascii="Times New Roman" w:hAnsi="Times New Roman" w:cs="Times New Roman"/>
          <w:color w:val="000000" w:themeColor="text1"/>
          <w:sz w:val="20"/>
          <w:szCs w:val="20"/>
          <w:lang w:val="en-MY" w:eastAsia="ja-JP"/>
        </w:rPr>
      </w:pPr>
      <w:commentRangeStart w:id="8"/>
      <w:r w:rsidRPr="003D13D4">
        <w:rPr>
          <w:rFonts w:ascii="Times New Roman" w:hAnsi="Times New Roman" w:cs="Times New Roman"/>
          <w:color w:val="000000" w:themeColor="text1"/>
          <w:sz w:val="20"/>
          <w:szCs w:val="20"/>
          <w:lang w:eastAsia="ja-JP"/>
        </w:rPr>
        <w:t>Kanneganti P, Harris JD, Brophy RH, Carey JL, Lattermann C, Flanigan DC. The effect of smoking on ligament and cartilage surgery in the knee: a systematic review. Am J Sports Med [Internet]. 2012 Dec [cited 2013 Feb 19];40(12):2872-8. Available from: http://ajs.sagepub.com/content/40/12/2872 doi: 10.1177/0363546512458223</w:t>
      </w:r>
      <w:commentRangeEnd w:id="8"/>
      <w:r w:rsidRPr="005F62EC">
        <w:rPr>
          <w:lang w:eastAsia="ja-JP"/>
        </w:rPr>
        <w:commentReference w:id="8"/>
      </w:r>
    </w:p>
    <w:p w14:paraId="3A71F73B" w14:textId="77777777" w:rsidR="003D13D4" w:rsidRPr="003D13D4" w:rsidRDefault="003D13D4" w:rsidP="003D13D4">
      <w:pPr>
        <w:pStyle w:val="ListParagraph"/>
        <w:numPr>
          <w:ilvl w:val="0"/>
          <w:numId w:val="4"/>
        </w:numPr>
        <w:spacing w:line="276" w:lineRule="auto"/>
        <w:ind w:left="426" w:hanging="426"/>
        <w:jc w:val="both"/>
        <w:rPr>
          <w:rFonts w:ascii="Times New Roman" w:hAnsi="Times New Roman" w:cs="Times New Roman"/>
          <w:color w:val="000000" w:themeColor="text1"/>
          <w:sz w:val="20"/>
          <w:szCs w:val="20"/>
          <w:lang w:val="en-MY" w:eastAsia="ja-JP"/>
        </w:rPr>
      </w:pPr>
      <w:commentRangeStart w:id="9"/>
      <w:r w:rsidRPr="003D13D4">
        <w:rPr>
          <w:rFonts w:ascii="Times New Roman" w:hAnsi="Times New Roman" w:cs="Times New Roman"/>
          <w:color w:val="000000" w:themeColor="text1"/>
          <w:sz w:val="20"/>
          <w:szCs w:val="20"/>
          <w:lang w:eastAsia="ja-JP"/>
        </w:rPr>
        <w:t>Carlson BM. Human embryology and developmental biology. 4th ed. St. Louis: Mosby; 2009. 541 p.</w:t>
      </w:r>
      <w:commentRangeEnd w:id="9"/>
      <w:r w:rsidRPr="005F62EC">
        <w:rPr>
          <w:lang w:eastAsia="ja-JP"/>
        </w:rPr>
        <w:commentReference w:id="9"/>
      </w:r>
    </w:p>
    <w:p w14:paraId="41265366" w14:textId="77777777" w:rsidR="003D13D4" w:rsidRPr="003D13D4" w:rsidRDefault="003D13D4" w:rsidP="003D13D4">
      <w:pPr>
        <w:pStyle w:val="ListParagraph"/>
        <w:numPr>
          <w:ilvl w:val="0"/>
          <w:numId w:val="4"/>
        </w:numPr>
        <w:spacing w:line="276" w:lineRule="auto"/>
        <w:ind w:left="426" w:hanging="426"/>
        <w:jc w:val="both"/>
        <w:rPr>
          <w:rFonts w:ascii="Times New Roman" w:hAnsi="Times New Roman" w:cs="Times New Roman"/>
          <w:color w:val="000000" w:themeColor="text1"/>
          <w:sz w:val="20"/>
          <w:szCs w:val="20"/>
          <w:lang w:val="en-MY" w:eastAsia="ja-JP"/>
        </w:rPr>
      </w:pPr>
      <w:commentRangeStart w:id="10"/>
      <w:r w:rsidRPr="003D13D4">
        <w:rPr>
          <w:rFonts w:ascii="Times New Roman" w:hAnsi="Times New Roman" w:cs="Times New Roman"/>
          <w:color w:val="000000" w:themeColor="text1"/>
          <w:sz w:val="20"/>
          <w:szCs w:val="20"/>
          <w:lang w:eastAsia="ja-JP"/>
        </w:rPr>
        <w:t xml:space="preserve">Shreeve DF. Reactive attachment disorder: a case-based approach [Internet]. New York: Springer; 2012 [cited 2012 Nov 2]. 85 p. </w:t>
      </w:r>
      <w:hyperlink r:id="rId16" w:history="1">
        <w:r w:rsidRPr="003D13D4">
          <w:rPr>
            <w:rStyle w:val="Hyperlink"/>
            <w:rFonts w:ascii="Times New Roman" w:hAnsi="Times New Roman" w:cs="Times New Roman"/>
            <w:color w:val="000000" w:themeColor="text1"/>
            <w:sz w:val="20"/>
            <w:szCs w:val="20"/>
            <w:lang w:val="en-US" w:eastAsia="ja-JP"/>
          </w:rPr>
          <w:t>doi:10.1007/978-1-4614-1647-0</w:t>
        </w:r>
      </w:hyperlink>
      <w:commentRangeEnd w:id="10"/>
      <w:r w:rsidRPr="005F62EC">
        <w:rPr>
          <w:lang w:eastAsia="ja-JP"/>
        </w:rPr>
        <w:commentReference w:id="10"/>
      </w:r>
    </w:p>
    <w:p w14:paraId="765A3609" w14:textId="77777777" w:rsidR="003D13D4" w:rsidRPr="003D13D4" w:rsidRDefault="003D13D4" w:rsidP="003D13D4">
      <w:pPr>
        <w:pStyle w:val="ListParagraph"/>
        <w:numPr>
          <w:ilvl w:val="0"/>
          <w:numId w:val="4"/>
        </w:numPr>
        <w:spacing w:line="276" w:lineRule="auto"/>
        <w:ind w:left="426" w:hanging="426"/>
        <w:jc w:val="both"/>
        <w:rPr>
          <w:rFonts w:ascii="Times New Roman" w:hAnsi="Times New Roman" w:cs="Times New Roman"/>
          <w:color w:val="000000" w:themeColor="text1"/>
          <w:sz w:val="20"/>
          <w:szCs w:val="20"/>
          <w:lang w:val="en-MY" w:eastAsia="ja-JP"/>
        </w:rPr>
      </w:pPr>
      <w:commentRangeStart w:id="11"/>
      <w:r w:rsidRPr="003D13D4">
        <w:rPr>
          <w:rFonts w:ascii="Times New Roman" w:hAnsi="Times New Roman" w:cs="Times New Roman"/>
          <w:color w:val="000000" w:themeColor="text1"/>
          <w:sz w:val="20"/>
          <w:szCs w:val="20"/>
          <w:lang w:eastAsia="ja-JP"/>
        </w:rPr>
        <w:t>Rowe IL, Carson NE. Medical manpower in Victoria. East Bentleigh (AU): Monash University, Department of Community Practice; 1981. 35 p. Report No.: 4.</w:t>
      </w:r>
      <w:commentRangeEnd w:id="11"/>
      <w:r w:rsidRPr="005F62EC">
        <w:rPr>
          <w:lang w:eastAsia="ja-JP"/>
        </w:rPr>
        <w:commentReference w:id="11"/>
      </w:r>
    </w:p>
    <w:p w14:paraId="7DD7EA22" w14:textId="77777777" w:rsidR="003D13D4" w:rsidRPr="003D13D4" w:rsidRDefault="003D13D4" w:rsidP="003D13D4">
      <w:pPr>
        <w:pStyle w:val="ListParagraph"/>
        <w:numPr>
          <w:ilvl w:val="0"/>
          <w:numId w:val="4"/>
        </w:numPr>
        <w:spacing w:line="276" w:lineRule="auto"/>
        <w:ind w:left="426" w:hanging="426"/>
        <w:jc w:val="both"/>
        <w:rPr>
          <w:rFonts w:ascii="Times New Roman" w:hAnsi="Times New Roman" w:cs="Times New Roman"/>
          <w:color w:val="000000" w:themeColor="text1"/>
          <w:sz w:val="20"/>
          <w:szCs w:val="20"/>
          <w:lang w:val="en-MY" w:eastAsia="ja-JP"/>
        </w:rPr>
      </w:pPr>
      <w:commentRangeStart w:id="12"/>
      <w:r w:rsidRPr="003D13D4">
        <w:rPr>
          <w:rFonts w:ascii="Times New Roman" w:hAnsi="Times New Roman" w:cs="Times New Roman"/>
          <w:color w:val="000000" w:themeColor="text1"/>
          <w:sz w:val="20"/>
          <w:szCs w:val="20"/>
          <w:lang w:eastAsia="ja-JP"/>
        </w:rPr>
        <w:t xml:space="preserve">A.D.A.M. medical encyclopedia [Internet]. Atlanta (GA): A.D.A.M., Inc.; c2005. Ear barotrauma; [updated 2006 Oct 20; cited 2006 Nov 16]; [about 4 screens]. Available from: </w:t>
      </w:r>
      <w:hyperlink r:id="rId17" w:history="1">
        <w:r w:rsidRPr="003D13D4">
          <w:rPr>
            <w:rStyle w:val="Hyperlink"/>
            <w:rFonts w:ascii="Times New Roman" w:hAnsi="Times New Roman" w:cs="Times New Roman"/>
            <w:color w:val="000000" w:themeColor="text1"/>
            <w:sz w:val="20"/>
            <w:szCs w:val="20"/>
            <w:lang w:val="en-US" w:eastAsia="ja-JP"/>
          </w:rPr>
          <w:t>http://www.nlm.nih.gov/medlineplus/ency/article/001064.htm</w:t>
        </w:r>
      </w:hyperlink>
      <w:commentRangeEnd w:id="12"/>
      <w:r w:rsidRPr="005F62EC">
        <w:rPr>
          <w:lang w:eastAsia="ja-JP"/>
        </w:rPr>
        <w:commentReference w:id="12"/>
      </w:r>
    </w:p>
    <w:p w14:paraId="5F3E05B9" w14:textId="77777777" w:rsidR="003D13D4" w:rsidRPr="003D13D4" w:rsidRDefault="003D13D4" w:rsidP="003D13D4">
      <w:pPr>
        <w:pStyle w:val="ListParagraph"/>
        <w:numPr>
          <w:ilvl w:val="0"/>
          <w:numId w:val="4"/>
        </w:numPr>
        <w:spacing w:line="276" w:lineRule="auto"/>
        <w:ind w:left="426" w:hanging="426"/>
        <w:jc w:val="both"/>
        <w:rPr>
          <w:rFonts w:ascii="Times New Roman" w:hAnsi="Times New Roman" w:cs="Times New Roman"/>
          <w:color w:val="000000" w:themeColor="text1"/>
          <w:sz w:val="20"/>
          <w:szCs w:val="20"/>
          <w:lang w:val="en-MY" w:eastAsia="ja-JP"/>
        </w:rPr>
      </w:pPr>
      <w:commentRangeStart w:id="13"/>
      <w:r w:rsidRPr="003D13D4">
        <w:rPr>
          <w:rFonts w:ascii="Times New Roman" w:hAnsi="Times New Roman" w:cs="Times New Roman"/>
          <w:color w:val="000000" w:themeColor="text1"/>
          <w:sz w:val="20"/>
          <w:szCs w:val="20"/>
          <w:lang w:eastAsia="ja-JP"/>
        </w:rPr>
        <w:t xml:space="preserve">AHFS consumer medication information [Internet]. Bethesda (MD): American Society of Health-System Pharmacists, Inc.; ©2008. Protriptyline; [revised 2007 Aug 1; reviewed 2007 Aug 1; cited 2008 Oct 2]; [about 5 p.]. Available from: </w:t>
      </w:r>
      <w:hyperlink r:id="rId18" w:history="1">
        <w:r w:rsidRPr="003D13D4">
          <w:rPr>
            <w:rStyle w:val="Hyperlink"/>
            <w:rFonts w:ascii="Times New Roman" w:hAnsi="Times New Roman" w:cs="Times New Roman"/>
            <w:color w:val="000000" w:themeColor="text1"/>
            <w:sz w:val="20"/>
            <w:szCs w:val="20"/>
            <w:lang w:val="en-US" w:eastAsia="ja-JP"/>
          </w:rPr>
          <w:t>http://www.nlm.nih.gov/medlineplus/druginfo/meds/a604025.html</w:t>
        </w:r>
      </w:hyperlink>
      <w:commentRangeEnd w:id="13"/>
      <w:r w:rsidRPr="005F62EC">
        <w:rPr>
          <w:lang w:eastAsia="ja-JP"/>
        </w:rPr>
        <w:commentReference w:id="13"/>
      </w:r>
    </w:p>
    <w:p w14:paraId="696E6F48" w14:textId="77777777" w:rsidR="003D13D4" w:rsidRPr="003D13D4" w:rsidRDefault="003D13D4" w:rsidP="003D13D4">
      <w:pPr>
        <w:pStyle w:val="ListParagraph"/>
        <w:numPr>
          <w:ilvl w:val="0"/>
          <w:numId w:val="4"/>
        </w:numPr>
        <w:spacing w:line="276" w:lineRule="auto"/>
        <w:ind w:left="426" w:hanging="426"/>
        <w:jc w:val="both"/>
        <w:rPr>
          <w:rFonts w:ascii="Times New Roman" w:hAnsi="Times New Roman" w:cs="Times New Roman"/>
          <w:color w:val="000000" w:themeColor="text1"/>
          <w:sz w:val="20"/>
          <w:szCs w:val="20"/>
          <w:lang w:val="en-MY" w:eastAsia="ja-JP"/>
        </w:rPr>
      </w:pPr>
      <w:commentRangeStart w:id="14"/>
      <w:r w:rsidRPr="003D13D4">
        <w:rPr>
          <w:rFonts w:ascii="Times New Roman" w:hAnsi="Times New Roman" w:cs="Times New Roman"/>
          <w:color w:val="000000" w:themeColor="text1"/>
          <w:sz w:val="20"/>
          <w:szCs w:val="20"/>
          <w:lang w:eastAsia="ja-JP"/>
        </w:rPr>
        <w:t xml:space="preserve">Diabetes Australia. Diabetes globally [Internet]. Canberra ACT: Diabetes Australia; 2012 [updated 2012 June 15; cited 2012 Nov 5]. Available from: http://www.diabetesaustralia.com.au/en/ Understanding-Diabetes/Diabetes-Globally/ </w:t>
      </w:r>
      <w:commentRangeEnd w:id="14"/>
      <w:r w:rsidRPr="005F62EC">
        <w:rPr>
          <w:lang w:eastAsia="ja-JP"/>
        </w:rPr>
        <w:commentReference w:id="14"/>
      </w:r>
    </w:p>
    <w:p w14:paraId="4CB01EA2" w14:textId="77777777" w:rsidR="003D13D4" w:rsidRPr="003D13D4" w:rsidRDefault="003D13D4" w:rsidP="003D13D4">
      <w:pPr>
        <w:pStyle w:val="ListParagraph"/>
        <w:numPr>
          <w:ilvl w:val="0"/>
          <w:numId w:val="4"/>
        </w:numPr>
        <w:spacing w:line="276" w:lineRule="auto"/>
        <w:ind w:left="426" w:hanging="426"/>
        <w:jc w:val="both"/>
        <w:rPr>
          <w:rFonts w:ascii="Times New Roman" w:hAnsi="Times New Roman" w:cs="Times New Roman"/>
          <w:color w:val="000000" w:themeColor="text1"/>
          <w:sz w:val="20"/>
          <w:szCs w:val="20"/>
          <w:lang w:val="en-MY" w:eastAsia="ja-JP"/>
        </w:rPr>
      </w:pPr>
      <w:commentRangeStart w:id="15"/>
      <w:r w:rsidRPr="003D13D4">
        <w:rPr>
          <w:rFonts w:ascii="Times New Roman" w:hAnsi="Times New Roman" w:cs="Times New Roman"/>
          <w:color w:val="000000" w:themeColor="text1"/>
          <w:sz w:val="20"/>
          <w:szCs w:val="20"/>
          <w:lang w:eastAsia="ja-JP"/>
        </w:rPr>
        <w:t>Australian Medical Association [Internet]. Barton ACT: AMA; c1995-2012. Junior doctors and medical students call for urgent solution to medical training crisis; 2012 Oct 22 [cited 2012 Nov 5]; [about 3 screens]. Available from: https://ama.com.au/media/junior-doctors -and-medical-students-call-urgentsolution-medical-training-crisis</w:t>
      </w:r>
      <w:commentRangeEnd w:id="15"/>
      <w:r w:rsidRPr="005F62EC">
        <w:rPr>
          <w:lang w:eastAsia="ja-JP"/>
        </w:rPr>
        <w:commentReference w:id="15"/>
      </w:r>
      <w:r w:rsidRPr="003D13D4">
        <w:rPr>
          <w:rFonts w:ascii="Times New Roman" w:hAnsi="Times New Roman" w:cs="Times New Roman"/>
          <w:color w:val="000000" w:themeColor="text1"/>
          <w:sz w:val="20"/>
          <w:szCs w:val="20"/>
          <w:lang w:eastAsia="ja-JP"/>
        </w:rPr>
        <w:t>.</w:t>
      </w:r>
    </w:p>
    <w:p w14:paraId="1B9401E6" w14:textId="77777777" w:rsidR="003D13D4" w:rsidRPr="003D13D4" w:rsidRDefault="003D13D4" w:rsidP="003D13D4">
      <w:pPr>
        <w:pStyle w:val="ListParagraph"/>
        <w:numPr>
          <w:ilvl w:val="0"/>
          <w:numId w:val="4"/>
        </w:numPr>
        <w:spacing w:line="276" w:lineRule="auto"/>
        <w:ind w:left="426" w:hanging="426"/>
        <w:jc w:val="both"/>
        <w:rPr>
          <w:rFonts w:ascii="Times New Roman" w:hAnsi="Times New Roman" w:cs="Times New Roman"/>
          <w:color w:val="000000" w:themeColor="text1"/>
          <w:sz w:val="20"/>
          <w:szCs w:val="20"/>
          <w:lang w:eastAsia="ja-JP"/>
        </w:rPr>
      </w:pPr>
      <w:commentRangeStart w:id="16"/>
      <w:r w:rsidRPr="003D13D4">
        <w:rPr>
          <w:rFonts w:ascii="Times New Roman" w:hAnsi="Times New Roman" w:cs="Times New Roman"/>
          <w:color w:val="000000" w:themeColor="text1"/>
          <w:sz w:val="20"/>
          <w:szCs w:val="20"/>
          <w:lang w:eastAsia="ja-JP"/>
        </w:rPr>
        <w:t xml:space="preserve">Centres for Disease Control and Prevention. Shingles on the face. [image on Internet]. 2011 [updated 2011 Jan 10; cited 2012 Nov 6]. Available from: </w:t>
      </w:r>
      <w:hyperlink r:id="rId19" w:history="1">
        <w:r w:rsidRPr="003D13D4">
          <w:rPr>
            <w:rStyle w:val="Hyperlink"/>
            <w:rFonts w:ascii="Times New Roman" w:hAnsi="Times New Roman" w:cs="Times New Roman"/>
            <w:color w:val="000000" w:themeColor="text1"/>
            <w:sz w:val="20"/>
            <w:szCs w:val="20"/>
            <w:lang w:val="en-US" w:eastAsia="ja-JP"/>
          </w:rPr>
          <w:t>http://www.cdc.gov/shingles/about/photos.html</w:t>
        </w:r>
      </w:hyperlink>
      <w:commentRangeEnd w:id="16"/>
      <w:r w:rsidRPr="005F62EC">
        <w:rPr>
          <w:lang w:eastAsia="ja-JP"/>
        </w:rPr>
        <w:commentReference w:id="16"/>
      </w:r>
    </w:p>
    <w:p w14:paraId="18198E41" w14:textId="77777777" w:rsidR="003D13D4" w:rsidRPr="003D13D4" w:rsidRDefault="003D13D4" w:rsidP="003D13D4">
      <w:pPr>
        <w:pStyle w:val="ListParagraph"/>
        <w:numPr>
          <w:ilvl w:val="0"/>
          <w:numId w:val="4"/>
        </w:numPr>
        <w:spacing w:line="276" w:lineRule="auto"/>
        <w:ind w:left="426" w:hanging="426"/>
        <w:jc w:val="both"/>
        <w:rPr>
          <w:rFonts w:ascii="Times New Roman" w:hAnsi="Times New Roman" w:cs="Times New Roman"/>
          <w:color w:val="000000" w:themeColor="text1"/>
          <w:sz w:val="20"/>
          <w:szCs w:val="20"/>
          <w:lang w:eastAsia="ja-JP"/>
        </w:rPr>
      </w:pPr>
      <w:commentRangeStart w:id="17"/>
      <w:r w:rsidRPr="003D13D4">
        <w:rPr>
          <w:rFonts w:ascii="Times New Roman" w:hAnsi="Times New Roman" w:cs="Times New Roman"/>
          <w:color w:val="000000" w:themeColor="text1"/>
          <w:sz w:val="20"/>
          <w:szCs w:val="20"/>
          <w:lang w:eastAsia="ja-JP"/>
        </w:rPr>
        <w:t>Clarke J, Pines A, McDermott RF, Trabesinger AH, inventors. University of California, assignee. </w:t>
      </w:r>
      <w:r w:rsidRPr="003D13D4">
        <w:rPr>
          <w:rFonts w:ascii="Times New Roman" w:hAnsi="Times New Roman" w:cs="Times New Roman"/>
          <w:i/>
          <w:iCs/>
          <w:color w:val="000000" w:themeColor="text1"/>
          <w:sz w:val="20"/>
          <w:szCs w:val="20"/>
          <w:lang w:eastAsia="ja-JP"/>
        </w:rPr>
        <w:t>SQUID detected NMR and MRI at ultralow fields. </w:t>
      </w:r>
      <w:r w:rsidRPr="003D13D4">
        <w:rPr>
          <w:rFonts w:ascii="Times New Roman" w:hAnsi="Times New Roman" w:cs="Times New Roman"/>
          <w:color w:val="000000" w:themeColor="text1"/>
          <w:sz w:val="20"/>
          <w:szCs w:val="20"/>
          <w:lang w:eastAsia="ja-JP"/>
        </w:rPr>
        <w:t>European Patent 1474707. 2004-11-10.</w:t>
      </w:r>
      <w:commentRangeEnd w:id="17"/>
      <w:r w:rsidRPr="005F62EC">
        <w:rPr>
          <w:lang w:eastAsia="ja-JP"/>
        </w:rPr>
        <w:commentReference w:id="17"/>
      </w:r>
    </w:p>
    <w:p w14:paraId="277301D9" w14:textId="77777777" w:rsidR="003D13D4" w:rsidRPr="003D13D4" w:rsidRDefault="003D13D4" w:rsidP="003D13D4">
      <w:pPr>
        <w:pStyle w:val="ListParagraph"/>
        <w:numPr>
          <w:ilvl w:val="0"/>
          <w:numId w:val="4"/>
        </w:numPr>
        <w:spacing w:line="276" w:lineRule="auto"/>
        <w:ind w:left="426" w:hanging="426"/>
        <w:jc w:val="both"/>
        <w:rPr>
          <w:rFonts w:ascii="Times New Roman" w:hAnsi="Times New Roman" w:cs="Times New Roman"/>
          <w:color w:val="000000" w:themeColor="text1"/>
          <w:sz w:val="20"/>
          <w:szCs w:val="20"/>
          <w:lang w:eastAsia="ja-JP"/>
        </w:rPr>
      </w:pPr>
      <w:commentRangeStart w:id="18"/>
      <w:r w:rsidRPr="003D13D4">
        <w:rPr>
          <w:rFonts w:ascii="Times New Roman" w:hAnsi="Times New Roman" w:cs="Times New Roman"/>
          <w:color w:val="000000" w:themeColor="text1"/>
          <w:sz w:val="20"/>
          <w:szCs w:val="20"/>
          <w:lang w:eastAsia="ja-JP"/>
        </w:rPr>
        <w:t>Luca J, Tarricone P. Does emotional intelligence affect successful teamwork? In: Kennedy G, Keppell M,  McNaught C, et al, eds. Meeting at the Cossroads: Proceedings of the 18</w:t>
      </w:r>
      <w:r w:rsidRPr="003D13D4">
        <w:rPr>
          <w:rFonts w:ascii="Times New Roman" w:hAnsi="Times New Roman" w:cs="Times New Roman"/>
          <w:color w:val="000000" w:themeColor="text1"/>
          <w:sz w:val="20"/>
          <w:szCs w:val="20"/>
          <w:vertAlign w:val="superscript"/>
          <w:lang w:eastAsia="ja-JP"/>
        </w:rPr>
        <w:t>th</w:t>
      </w:r>
      <w:r w:rsidRPr="003D13D4">
        <w:rPr>
          <w:rFonts w:ascii="Times New Roman" w:hAnsi="Times New Roman" w:cs="Times New Roman"/>
          <w:color w:val="000000" w:themeColor="text1"/>
          <w:sz w:val="20"/>
          <w:szCs w:val="20"/>
          <w:lang w:eastAsia="ja-JP"/>
        </w:rPr>
        <w:t> Annual Conference of the Australasian Society for Computers in Learning in Tertiary Education,</w:t>
      </w:r>
      <w:r w:rsidRPr="003D13D4">
        <w:rPr>
          <w:rFonts w:ascii="Times New Roman" w:hAnsi="Times New Roman" w:cs="Times New Roman"/>
          <w:i/>
          <w:iCs/>
          <w:color w:val="000000" w:themeColor="text1"/>
          <w:sz w:val="20"/>
          <w:szCs w:val="20"/>
          <w:lang w:eastAsia="ja-JP"/>
        </w:rPr>
        <w:t> </w:t>
      </w:r>
      <w:r w:rsidRPr="003D13D4">
        <w:rPr>
          <w:rFonts w:ascii="Times New Roman" w:hAnsi="Times New Roman" w:cs="Times New Roman"/>
          <w:color w:val="000000" w:themeColor="text1"/>
          <w:sz w:val="20"/>
          <w:szCs w:val="20"/>
          <w:lang w:eastAsia="ja-JP"/>
        </w:rPr>
        <w:t>2001 Dec 9-12; Melbourne: </w:t>
      </w:r>
      <w:r w:rsidRPr="003D13D4">
        <w:rPr>
          <w:rFonts w:ascii="Times New Roman" w:hAnsi="Times New Roman" w:cs="Times New Roman"/>
          <w:color w:val="000000" w:themeColor="text1"/>
          <w:sz w:val="20"/>
          <w:szCs w:val="20"/>
          <w:lang w:val="en" w:eastAsia="ja-JP"/>
        </w:rPr>
        <w:t>Biomedical Multimedia Unit, The University of Melbourne; 2001.</w:t>
      </w:r>
      <w:r w:rsidRPr="003D13D4">
        <w:rPr>
          <w:rFonts w:ascii="Times New Roman" w:hAnsi="Times New Roman" w:cs="Times New Roman"/>
          <w:i/>
          <w:iCs/>
          <w:color w:val="000000" w:themeColor="text1"/>
          <w:sz w:val="20"/>
          <w:szCs w:val="20"/>
          <w:lang w:val="en" w:eastAsia="ja-JP"/>
        </w:rPr>
        <w:t> </w:t>
      </w:r>
      <w:r w:rsidRPr="003D13D4">
        <w:rPr>
          <w:rFonts w:ascii="Times New Roman" w:hAnsi="Times New Roman" w:cs="Times New Roman"/>
          <w:color w:val="000000" w:themeColor="text1"/>
          <w:sz w:val="20"/>
          <w:szCs w:val="20"/>
          <w:lang w:eastAsia="ja-JP"/>
        </w:rPr>
        <w:t>p.367-76.</w:t>
      </w:r>
      <w:commentRangeEnd w:id="18"/>
      <w:r w:rsidRPr="005F62EC">
        <w:rPr>
          <w:lang w:eastAsia="ja-JP"/>
        </w:rPr>
        <w:commentReference w:id="18"/>
      </w:r>
    </w:p>
    <w:p w14:paraId="021A9816" w14:textId="77777777" w:rsidR="003D13D4" w:rsidRPr="003D13D4" w:rsidRDefault="003D13D4" w:rsidP="003D13D4">
      <w:pPr>
        <w:pStyle w:val="ListParagraph"/>
        <w:numPr>
          <w:ilvl w:val="0"/>
          <w:numId w:val="4"/>
        </w:numPr>
        <w:spacing w:line="276" w:lineRule="auto"/>
        <w:ind w:left="426" w:hanging="426"/>
        <w:jc w:val="both"/>
        <w:rPr>
          <w:rFonts w:ascii="Times New Roman" w:hAnsi="Times New Roman" w:cs="Times New Roman"/>
          <w:color w:val="000000" w:themeColor="text1"/>
          <w:sz w:val="20"/>
          <w:szCs w:val="20"/>
          <w:lang w:eastAsia="ja-JP"/>
        </w:rPr>
      </w:pPr>
      <w:commentRangeStart w:id="19"/>
      <w:r w:rsidRPr="003D13D4">
        <w:rPr>
          <w:rFonts w:ascii="Times New Roman" w:hAnsi="Times New Roman" w:cs="Times New Roman"/>
          <w:color w:val="000000" w:themeColor="text1"/>
          <w:sz w:val="20"/>
          <w:szCs w:val="20"/>
          <w:lang w:eastAsia="ja-JP"/>
        </w:rPr>
        <w:t xml:space="preserve">Cloherty SL, Dokos S, Lovell NH. Qualitative support for the gradient model of cardiac pacemaker heterogeneity. In: Proceedings of the 2005 IEEE Engineering in Medicine and Biology 27 Annual </w:t>
      </w:r>
      <w:r w:rsidRPr="003D13D4">
        <w:rPr>
          <w:rFonts w:ascii="Times New Roman" w:hAnsi="Times New Roman" w:cs="Times New Roman"/>
          <w:color w:val="000000" w:themeColor="text1"/>
          <w:sz w:val="20"/>
          <w:szCs w:val="20"/>
          <w:lang w:eastAsia="ja-JP"/>
        </w:rPr>
        <w:lastRenderedPageBreak/>
        <w:t>Conference [conference proceedings on the Internet]; 2005 Sep 1-4; Shanghai, China. New York: IEEE; 2005 [cited 2013 Sep 2]. p. 133-6. Available from: IEEE Xplore</w:t>
      </w:r>
      <w:commentRangeEnd w:id="19"/>
      <w:r w:rsidRPr="005F62EC">
        <w:rPr>
          <w:lang w:eastAsia="ja-JP"/>
        </w:rPr>
        <w:commentReference w:id="19"/>
      </w:r>
    </w:p>
    <w:sectPr w:rsidR="003D13D4" w:rsidRPr="003D13D4" w:rsidSect="008F7C69">
      <w:headerReference w:type="default" r:id="rId20"/>
      <w:footerReference w:type="default" r:id="rId21"/>
      <w:footerReference w:type="first" r:id="rId22"/>
      <w:pgSz w:w="11906" w:h="16838"/>
      <w:pgMar w:top="1440" w:right="1440" w:bottom="1440" w:left="1440" w:header="720" w:footer="720" w:gutter="0"/>
      <w:pgNumType w:start="1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3-10-07T10:58:00Z" w:initials="u">
    <w:p w14:paraId="43F19CBE" w14:textId="1E9AEF4E" w:rsidR="00ED3F3D" w:rsidRDefault="00ED3F3D">
      <w:pPr>
        <w:pStyle w:val="CommentText"/>
      </w:pPr>
      <w:r>
        <w:rPr>
          <w:rStyle w:val="CommentReference"/>
        </w:rPr>
        <w:annotationRef/>
      </w:r>
      <w:r>
        <w:t>8-16 words</w:t>
      </w:r>
    </w:p>
  </w:comment>
  <w:comment w:id="2" w:author="Editor 1.2" w:date="2021-03-04T13:17:00Z" w:initials="e">
    <w:p w14:paraId="7FA91022" w14:textId="77777777" w:rsidR="00574EF5" w:rsidRDefault="00574EF5" w:rsidP="00574EF5">
      <w:pPr>
        <w:pStyle w:val="CommentText"/>
      </w:pPr>
      <w:r>
        <w:rPr>
          <w:rStyle w:val="CommentReference"/>
        </w:rPr>
        <w:annotationRef/>
      </w:r>
      <w:r>
        <w:rPr>
          <w:rStyle w:val="CommentReference"/>
        </w:rPr>
        <w:annotationRef/>
      </w:r>
      <w:r>
        <w:t xml:space="preserve">150-250 words </w:t>
      </w:r>
    </w:p>
    <w:p w14:paraId="13DCE08A" w14:textId="77777777" w:rsidR="00574EF5" w:rsidRDefault="00574EF5" w:rsidP="00574EF5">
      <w:pPr>
        <w:pStyle w:val="CommentText"/>
      </w:pPr>
    </w:p>
  </w:comment>
  <w:comment w:id="3" w:author="Editor 1.2" w:date="2021-03-04T13:17:00Z" w:initials="e">
    <w:p w14:paraId="1B9ECF19" w14:textId="77777777" w:rsidR="00574EF5" w:rsidRDefault="00574EF5" w:rsidP="00574EF5">
      <w:pPr>
        <w:pStyle w:val="CommentText"/>
      </w:pPr>
      <w:r>
        <w:rPr>
          <w:rStyle w:val="CommentReference"/>
        </w:rPr>
        <w:annotationRef/>
      </w:r>
      <w:r>
        <w:rPr>
          <w:rStyle w:val="CommentReference"/>
        </w:rPr>
        <w:annotationRef/>
      </w:r>
      <w:r>
        <w:t>4-6 words</w:t>
      </w:r>
    </w:p>
  </w:comment>
  <w:comment w:id="4" w:author="Editor 1.2" w:date="2021-03-04T13:15:00Z" w:initials="e">
    <w:p w14:paraId="367BB811" w14:textId="77777777" w:rsidR="00A50AD6" w:rsidRPr="00B13033" w:rsidRDefault="00A50AD6" w:rsidP="00A50AD6">
      <w:pPr>
        <w:pStyle w:val="CommentText"/>
      </w:pPr>
      <w:r>
        <w:rPr>
          <w:rStyle w:val="CommentReference"/>
        </w:rPr>
        <w:annotationRef/>
      </w:r>
      <w:r>
        <w:rPr>
          <w:rStyle w:val="CommentReference"/>
        </w:rPr>
        <w:annotationRef/>
      </w:r>
      <w:r>
        <w:rPr>
          <w:rStyle w:val="CommentReference"/>
        </w:rPr>
        <w:annotationRef/>
      </w:r>
      <w:r>
        <w:t xml:space="preserve">If </w:t>
      </w:r>
      <w:proofErr w:type="gramStart"/>
      <w:r>
        <w:t>the  figure</w:t>
      </w:r>
      <w:proofErr w:type="gramEnd"/>
      <w:r>
        <w:t xml:space="preserve"> is small please add it one column. If the figure has different </w:t>
      </w:r>
      <w:proofErr w:type="gramStart"/>
      <w:r>
        <w:t>parts</w:t>
      </w:r>
      <w:proofErr w:type="gramEnd"/>
      <w:r>
        <w:t xml:space="preserve"> please mention them with a) b) c)</w:t>
      </w:r>
    </w:p>
    <w:p w14:paraId="435130AD" w14:textId="77777777" w:rsidR="00A50AD6" w:rsidRDefault="00A50AD6" w:rsidP="00A50AD6">
      <w:pPr>
        <w:pStyle w:val="CommentText"/>
      </w:pPr>
    </w:p>
  </w:comment>
  <w:comment w:id="5" w:author="Editor 1.2" w:date="2021-02-25T13:21:00Z" w:initials="e">
    <w:p w14:paraId="1CC54826" w14:textId="77777777" w:rsidR="003D13D4" w:rsidRDefault="003D13D4" w:rsidP="003D13D4">
      <w:pPr>
        <w:pStyle w:val="CommentText"/>
      </w:pPr>
      <w:r>
        <w:rPr>
          <w:rStyle w:val="CommentReference"/>
        </w:rPr>
        <w:annotationRef/>
      </w:r>
      <w:r w:rsidRPr="00805573">
        <w:rPr>
          <w:rFonts w:eastAsia="Calibri"/>
          <w:b/>
          <w:sz w:val="22"/>
          <w:szCs w:val="22"/>
        </w:rPr>
        <w:t>Article with 1 to 6 authors</w:t>
      </w:r>
    </w:p>
  </w:comment>
  <w:comment w:id="6" w:author="Editor 1.2" w:date="2021-02-25T13:21:00Z" w:initials="e">
    <w:p w14:paraId="576D917A" w14:textId="77777777" w:rsidR="003D13D4" w:rsidRDefault="003D13D4" w:rsidP="003D13D4">
      <w:pPr>
        <w:pStyle w:val="CommentText"/>
      </w:pPr>
      <w:r>
        <w:rPr>
          <w:rStyle w:val="CommentReference"/>
        </w:rPr>
        <w:annotationRef/>
      </w:r>
      <w:r w:rsidRPr="00805573">
        <w:rPr>
          <w:rFonts w:eastAsia="Calibri"/>
          <w:b/>
          <w:sz w:val="22"/>
          <w:szCs w:val="22"/>
        </w:rPr>
        <w:t>Article with more than 6 authors</w:t>
      </w:r>
    </w:p>
  </w:comment>
  <w:comment w:id="7" w:author="Editor 1.2" w:date="2021-02-25T13:21:00Z" w:initials="e">
    <w:p w14:paraId="2172CD97" w14:textId="77777777" w:rsidR="003D13D4" w:rsidRDefault="003D13D4" w:rsidP="003D13D4">
      <w:pPr>
        <w:pStyle w:val="CommentText"/>
      </w:pPr>
      <w:r>
        <w:rPr>
          <w:rStyle w:val="CommentReference"/>
        </w:rPr>
        <w:annotationRef/>
      </w:r>
      <w:r w:rsidRPr="00805573">
        <w:rPr>
          <w:rFonts w:eastAsia="Calibri"/>
          <w:b/>
          <w:sz w:val="22"/>
          <w:szCs w:val="22"/>
        </w:rPr>
        <w:t>Electronic journal article</w:t>
      </w:r>
    </w:p>
  </w:comment>
  <w:comment w:id="8" w:author="Editor 1.2" w:date="2021-02-25T13:22:00Z" w:initials="e">
    <w:p w14:paraId="4C45CC48" w14:textId="77777777" w:rsidR="003D13D4" w:rsidRDefault="003D13D4" w:rsidP="003D13D4">
      <w:pPr>
        <w:pStyle w:val="CommentText"/>
      </w:pPr>
      <w:r>
        <w:rPr>
          <w:rStyle w:val="CommentReference"/>
        </w:rPr>
        <w:annotationRef/>
      </w:r>
      <w:r w:rsidRPr="00805573">
        <w:rPr>
          <w:rFonts w:eastAsia="Calibri"/>
          <w:b/>
          <w:sz w:val="22"/>
          <w:szCs w:val="22"/>
        </w:rPr>
        <w:t>Electronic journal article with DOI</w:t>
      </w:r>
    </w:p>
  </w:comment>
  <w:comment w:id="9" w:author="Editor 1.2" w:date="2021-02-25T13:22:00Z" w:initials="e">
    <w:p w14:paraId="2CBAC95D" w14:textId="77777777" w:rsidR="003D13D4" w:rsidRPr="00805573" w:rsidRDefault="003D13D4" w:rsidP="003D13D4">
      <w:pPr>
        <w:numPr>
          <w:ilvl w:val="0"/>
          <w:numId w:val="3"/>
        </w:numPr>
        <w:spacing w:line="259" w:lineRule="auto"/>
        <w:ind w:right="30" w:hanging="360"/>
        <w:jc w:val="left"/>
      </w:pPr>
      <w:r>
        <w:rPr>
          <w:rStyle w:val="CommentReference"/>
        </w:rPr>
        <w:annotationRef/>
      </w:r>
      <w:r w:rsidRPr="00805573">
        <w:rPr>
          <w:b/>
        </w:rPr>
        <w:t xml:space="preserve">Print book </w:t>
      </w:r>
    </w:p>
  </w:comment>
  <w:comment w:id="10" w:author="Editor 1.2" w:date="2021-02-25T13:23:00Z" w:initials="e">
    <w:p w14:paraId="14CBBB25" w14:textId="77777777" w:rsidR="003D13D4" w:rsidRDefault="003D13D4" w:rsidP="003D13D4">
      <w:pPr>
        <w:pStyle w:val="CommentText"/>
      </w:pPr>
      <w:r>
        <w:rPr>
          <w:rStyle w:val="CommentReference"/>
        </w:rPr>
        <w:annotationRef/>
      </w:r>
      <w:r w:rsidRPr="00805573">
        <w:rPr>
          <w:rFonts w:eastAsia="Calibri"/>
          <w:b/>
          <w:sz w:val="22"/>
          <w:szCs w:val="22"/>
        </w:rPr>
        <w:t>Electronic book</w:t>
      </w:r>
    </w:p>
  </w:comment>
  <w:comment w:id="11" w:author="Editor 1.2" w:date="2021-02-25T13:23:00Z" w:initials="e">
    <w:p w14:paraId="66D7436B" w14:textId="77777777" w:rsidR="003D13D4" w:rsidRDefault="003D13D4" w:rsidP="003D13D4">
      <w:pPr>
        <w:pStyle w:val="CommentText"/>
      </w:pPr>
      <w:r>
        <w:rPr>
          <w:rStyle w:val="CommentReference"/>
        </w:rPr>
        <w:annotationRef/>
      </w:r>
      <w:r w:rsidRPr="00805573">
        <w:rPr>
          <w:rFonts w:eastAsia="Calibri"/>
          <w:b/>
          <w:sz w:val="22"/>
          <w:szCs w:val="22"/>
        </w:rPr>
        <w:t>Government reports</w:t>
      </w:r>
    </w:p>
  </w:comment>
  <w:comment w:id="12" w:author="Editor 1.2" w:date="2021-02-25T13:24:00Z" w:initials="e">
    <w:p w14:paraId="6B425CED" w14:textId="77777777" w:rsidR="003D13D4" w:rsidRPr="00805573" w:rsidRDefault="003D13D4" w:rsidP="003D13D4">
      <w:pPr>
        <w:pStyle w:val="CommentText"/>
        <w:rPr>
          <w:rFonts w:eastAsia="Calibri"/>
          <w:b/>
          <w:sz w:val="22"/>
          <w:szCs w:val="22"/>
        </w:rPr>
      </w:pPr>
      <w:r>
        <w:rPr>
          <w:rStyle w:val="CommentReference"/>
        </w:rPr>
        <w:annotationRef/>
      </w:r>
      <w:r w:rsidRPr="00805573">
        <w:rPr>
          <w:rFonts w:eastAsia="Calibri"/>
          <w:b/>
          <w:sz w:val="22"/>
          <w:szCs w:val="22"/>
        </w:rPr>
        <w:t xml:space="preserve">Dictionaries and encyclopedias </w:t>
      </w:r>
    </w:p>
    <w:p w14:paraId="6BF3D001" w14:textId="77777777" w:rsidR="003D13D4" w:rsidRDefault="003D13D4" w:rsidP="003D13D4">
      <w:pPr>
        <w:pStyle w:val="CommentText"/>
      </w:pPr>
      <w:r w:rsidRPr="00805573">
        <w:rPr>
          <w:rFonts w:eastAsia="Calibri"/>
          <w:b/>
          <w:sz w:val="22"/>
          <w:szCs w:val="22"/>
        </w:rPr>
        <w:t>Article from online reference work</w:t>
      </w:r>
    </w:p>
  </w:comment>
  <w:comment w:id="13" w:author="Editor 1.2" w:date="2021-02-25T13:24:00Z" w:initials="e">
    <w:p w14:paraId="037FA363" w14:textId="77777777" w:rsidR="003D13D4" w:rsidRPr="00805573" w:rsidRDefault="003D13D4" w:rsidP="003D13D4">
      <w:pPr>
        <w:keepNext/>
        <w:keepLines/>
        <w:spacing w:after="279" w:line="265" w:lineRule="auto"/>
        <w:outlineLvl w:val="1"/>
        <w:rPr>
          <w:b/>
          <w:color w:val="000000"/>
        </w:rPr>
      </w:pPr>
      <w:r>
        <w:rPr>
          <w:rStyle w:val="CommentReference"/>
        </w:rPr>
        <w:annotationRef/>
      </w:r>
      <w:r w:rsidRPr="00805573">
        <w:rPr>
          <w:b/>
          <w:color w:val="000000"/>
        </w:rPr>
        <w:t xml:space="preserve">Dictionaries and encyclopedias </w:t>
      </w:r>
    </w:p>
    <w:p w14:paraId="52ABCB87" w14:textId="77777777" w:rsidR="003D13D4" w:rsidRDefault="003D13D4" w:rsidP="003D13D4">
      <w:pPr>
        <w:pStyle w:val="CommentText"/>
      </w:pPr>
      <w:r w:rsidRPr="00805573">
        <w:rPr>
          <w:rFonts w:eastAsia="Calibri"/>
          <w:b/>
          <w:sz w:val="22"/>
          <w:szCs w:val="22"/>
        </w:rPr>
        <w:t>Article from electronic drug guide</w:t>
      </w:r>
    </w:p>
  </w:comment>
  <w:comment w:id="14" w:author="Editor 1.2" w:date="2021-02-25T13:26:00Z" w:initials="e">
    <w:p w14:paraId="23ABED96" w14:textId="77777777" w:rsidR="003D13D4" w:rsidRDefault="003D13D4" w:rsidP="003D13D4">
      <w:pPr>
        <w:pStyle w:val="CommentText"/>
      </w:pPr>
      <w:r>
        <w:rPr>
          <w:rStyle w:val="CommentReference"/>
        </w:rPr>
        <w:annotationRef/>
      </w:r>
      <w:r>
        <w:rPr>
          <w:b/>
        </w:rPr>
        <w:t>Web page/</w:t>
      </w:r>
      <w:r w:rsidRPr="00805573">
        <w:rPr>
          <w:b/>
        </w:rPr>
        <w:t>homepage</w:t>
      </w:r>
    </w:p>
  </w:comment>
  <w:comment w:id="15" w:author="Editor 1.2" w:date="2021-02-25T13:26:00Z" w:initials="e">
    <w:p w14:paraId="15C64A6B" w14:textId="77777777" w:rsidR="003D13D4" w:rsidRDefault="003D13D4" w:rsidP="003D13D4">
      <w:pPr>
        <w:pStyle w:val="CommentText"/>
      </w:pPr>
      <w:r>
        <w:rPr>
          <w:rStyle w:val="CommentReference"/>
        </w:rPr>
        <w:annotationRef/>
      </w:r>
      <w:r w:rsidRPr="00805573">
        <w:rPr>
          <w:b/>
        </w:rPr>
        <w:t>Web page</w:t>
      </w:r>
      <w:r>
        <w:rPr>
          <w:b/>
        </w:rPr>
        <w:t xml:space="preserve"> / </w:t>
      </w:r>
      <w:r w:rsidRPr="00805573">
        <w:rPr>
          <w:rFonts w:eastAsia="Calibri"/>
          <w:b/>
          <w:sz w:val="22"/>
          <w:szCs w:val="22"/>
        </w:rPr>
        <w:t xml:space="preserve">part of website  </w:t>
      </w:r>
    </w:p>
  </w:comment>
  <w:comment w:id="16" w:author="Editor 1.2" w:date="2021-02-25T13:27:00Z" w:initials="e">
    <w:p w14:paraId="7321A3D0" w14:textId="77777777" w:rsidR="003D13D4" w:rsidRDefault="003D13D4" w:rsidP="003D13D4">
      <w:pPr>
        <w:pStyle w:val="CommentText"/>
      </w:pPr>
      <w:r>
        <w:rPr>
          <w:rStyle w:val="CommentReference"/>
        </w:rPr>
        <w:annotationRef/>
      </w:r>
      <w:r w:rsidRPr="00805573">
        <w:rPr>
          <w:rFonts w:eastAsia="Calibri"/>
          <w:b/>
          <w:sz w:val="22"/>
          <w:szCs w:val="22"/>
        </w:rPr>
        <w:t>Image from web</w:t>
      </w:r>
    </w:p>
  </w:comment>
  <w:comment w:id="17" w:author="Editor 1.2" w:date="2021-03-04T13:07:00Z" w:initials="e">
    <w:p w14:paraId="6C966490" w14:textId="77777777" w:rsidR="003D13D4" w:rsidRDefault="003D13D4" w:rsidP="003D13D4">
      <w:pPr>
        <w:pStyle w:val="CommentText"/>
      </w:pPr>
      <w:r>
        <w:rPr>
          <w:rStyle w:val="CommentReference"/>
        </w:rPr>
        <w:annotationRef/>
      </w:r>
      <w:r>
        <w:t xml:space="preserve">Patent </w:t>
      </w:r>
    </w:p>
  </w:comment>
  <w:comment w:id="18" w:author="Editor 1.2" w:date="2021-03-04T13:07:00Z" w:initials="e">
    <w:p w14:paraId="609CC7D8" w14:textId="77777777" w:rsidR="003D13D4" w:rsidRDefault="003D13D4" w:rsidP="003D13D4">
      <w:pPr>
        <w:pStyle w:val="CommentText"/>
      </w:pPr>
      <w:r>
        <w:rPr>
          <w:rStyle w:val="CommentReference"/>
        </w:rPr>
        <w:annotationRef/>
      </w:r>
      <w:r>
        <w:t xml:space="preserve">Print conference </w:t>
      </w:r>
    </w:p>
  </w:comment>
  <w:comment w:id="19" w:author="Editor 1.2" w:date="2021-03-04T13:12:00Z" w:initials="e">
    <w:p w14:paraId="79AB9A15" w14:textId="77777777" w:rsidR="003D13D4" w:rsidRDefault="003D13D4" w:rsidP="003D13D4">
      <w:pPr>
        <w:pStyle w:val="CommentText"/>
      </w:pPr>
      <w:r>
        <w:rPr>
          <w:rStyle w:val="CommentReference"/>
        </w:rPr>
        <w:annotationRef/>
      </w:r>
      <w:r>
        <w:t xml:space="preserve">Online conference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F19CBE" w15:done="0"/>
  <w15:commentEx w15:paraId="13DCE08A" w15:done="0"/>
  <w15:commentEx w15:paraId="1B9ECF19" w15:done="0"/>
  <w15:commentEx w15:paraId="435130AD" w15:done="0"/>
  <w15:commentEx w15:paraId="1CC54826" w15:done="0"/>
  <w15:commentEx w15:paraId="576D917A" w15:done="0"/>
  <w15:commentEx w15:paraId="2172CD97" w15:done="0"/>
  <w15:commentEx w15:paraId="4C45CC48" w15:done="0"/>
  <w15:commentEx w15:paraId="2CBAC95D" w15:done="0"/>
  <w15:commentEx w15:paraId="14CBBB25" w15:done="0"/>
  <w15:commentEx w15:paraId="66D7436B" w15:done="0"/>
  <w15:commentEx w15:paraId="6BF3D001" w15:done="0"/>
  <w15:commentEx w15:paraId="52ABCB87" w15:done="0"/>
  <w15:commentEx w15:paraId="23ABED96" w15:done="0"/>
  <w15:commentEx w15:paraId="15C64A6B" w15:done="0"/>
  <w15:commentEx w15:paraId="7321A3D0" w15:done="0"/>
  <w15:commentEx w15:paraId="6C966490" w15:done="0"/>
  <w15:commentEx w15:paraId="609CC7D8" w15:done="0"/>
  <w15:commentEx w15:paraId="79AB9A1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40803" w14:textId="77777777" w:rsidR="00387AD3" w:rsidRDefault="00387AD3" w:rsidP="00A50AD6">
      <w:r>
        <w:separator/>
      </w:r>
    </w:p>
  </w:endnote>
  <w:endnote w:type="continuationSeparator" w:id="0">
    <w:p w14:paraId="7898DD8B" w14:textId="77777777" w:rsidR="00387AD3" w:rsidRDefault="00387AD3" w:rsidP="00A5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719F8" w14:paraId="62DE4801" w14:textId="77777777" w:rsidTr="00725063">
      <w:tc>
        <w:tcPr>
          <w:tcW w:w="3005" w:type="dxa"/>
          <w:vAlign w:val="center"/>
        </w:tcPr>
        <w:p w14:paraId="2D24CD03" w14:textId="77777777" w:rsidR="000719F8" w:rsidRPr="000719F8" w:rsidRDefault="00387AD3" w:rsidP="000719F8">
          <w:pPr>
            <w:pStyle w:val="Footer"/>
            <w:tabs>
              <w:tab w:val="clear" w:pos="4680"/>
              <w:tab w:val="clear" w:pos="9360"/>
              <w:tab w:val="center" w:pos="4536"/>
              <w:tab w:val="right" w:pos="9072"/>
            </w:tabs>
            <w:ind w:firstLine="0"/>
            <w:jc w:val="left"/>
            <w:rPr>
              <w:rFonts w:asciiTheme="majorBidi" w:eastAsia="SimSun" w:hAnsiTheme="majorBidi" w:cstheme="majorBidi"/>
              <w:b/>
              <w:bCs/>
              <w:color w:val="663300"/>
              <w:sz w:val="16"/>
              <w:szCs w:val="16"/>
              <w:lang w:val="tr-TR"/>
            </w:rPr>
          </w:pPr>
          <w:hyperlink r:id="rId1" w:history="1">
            <w:r w:rsidR="000719F8" w:rsidRPr="000719F8">
              <w:rPr>
                <w:rStyle w:val="Hyperlink"/>
                <w:rFonts w:asciiTheme="majorBidi" w:eastAsia="SimSun" w:hAnsiTheme="majorBidi" w:cstheme="majorBidi"/>
                <w:b/>
                <w:bCs/>
                <w:color w:val="663300"/>
                <w:sz w:val="16"/>
                <w:szCs w:val="16"/>
                <w:u w:val="none"/>
                <w:lang w:val="tr-TR"/>
              </w:rPr>
              <w:t>https://journalinpc.com/</w:t>
            </w:r>
          </w:hyperlink>
        </w:p>
      </w:tc>
      <w:tc>
        <w:tcPr>
          <w:tcW w:w="3005" w:type="dxa"/>
        </w:tcPr>
        <w:p w14:paraId="77D9A854" w14:textId="5A850DB7" w:rsidR="000719F8" w:rsidRDefault="00252D13" w:rsidP="000719F8">
          <w:pPr>
            <w:pStyle w:val="Footer"/>
            <w:ind w:firstLine="0"/>
            <w:jc w:val="center"/>
          </w:pPr>
          <w:r w:rsidRPr="008F7C69">
            <w:rPr>
              <w:noProof/>
            </w:rPr>
            <w:drawing>
              <wp:inline distT="0" distB="0" distL="0" distR="0" wp14:anchorId="3D6BFBB9" wp14:editId="72A4C4AA">
                <wp:extent cx="446567" cy="223284"/>
                <wp:effectExtent l="0" t="0" r="0" b="5715"/>
                <wp:docPr id="36" name="Picture 36" descr="C:\Users\user\Desktop\logo-Jo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o-Journ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556" cy="230278"/>
                        </a:xfrm>
                        <a:prstGeom prst="rect">
                          <a:avLst/>
                        </a:prstGeom>
                        <a:noFill/>
                        <a:ln>
                          <a:noFill/>
                        </a:ln>
                      </pic:spPr>
                    </pic:pic>
                  </a:graphicData>
                </a:graphic>
              </wp:inline>
            </w:drawing>
          </w:r>
        </w:p>
      </w:tc>
      <w:tc>
        <w:tcPr>
          <w:tcW w:w="3006" w:type="dxa"/>
        </w:tcPr>
        <w:p w14:paraId="741BA037" w14:textId="77777777" w:rsidR="000719F8" w:rsidRDefault="000719F8" w:rsidP="000719F8">
          <w:pPr>
            <w:pStyle w:val="Footer"/>
            <w:ind w:firstLine="0"/>
            <w:jc w:val="center"/>
          </w:pPr>
        </w:p>
      </w:tc>
    </w:tr>
  </w:tbl>
  <w:p w14:paraId="047D291B" w14:textId="77777777" w:rsidR="008A7C90" w:rsidRPr="000719F8" w:rsidRDefault="008A7C90" w:rsidP="000719F8">
    <w:pPr>
      <w:pStyle w:val="Footer"/>
      <w:ind w:firstLine="0"/>
      <w:rPr>
        <w:sz w:val="10"/>
        <w:szCs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F7C69" w14:paraId="5AE38019" w14:textId="77777777" w:rsidTr="008F7C69">
      <w:tc>
        <w:tcPr>
          <w:tcW w:w="3005" w:type="dxa"/>
          <w:vAlign w:val="center"/>
        </w:tcPr>
        <w:p w14:paraId="70E07863" w14:textId="77777777" w:rsidR="008F7C69" w:rsidRPr="000719F8" w:rsidRDefault="00387AD3" w:rsidP="000719F8">
          <w:pPr>
            <w:pStyle w:val="Footer"/>
            <w:tabs>
              <w:tab w:val="clear" w:pos="4680"/>
              <w:tab w:val="clear" w:pos="9360"/>
              <w:tab w:val="center" w:pos="4536"/>
              <w:tab w:val="right" w:pos="9072"/>
            </w:tabs>
            <w:ind w:firstLine="0"/>
            <w:jc w:val="left"/>
            <w:rPr>
              <w:rFonts w:asciiTheme="majorBidi" w:eastAsia="SimSun" w:hAnsiTheme="majorBidi" w:cstheme="majorBidi"/>
              <w:b/>
              <w:bCs/>
              <w:color w:val="663300"/>
              <w:sz w:val="16"/>
              <w:szCs w:val="16"/>
              <w:lang w:val="tr-TR"/>
            </w:rPr>
          </w:pPr>
          <w:hyperlink r:id="rId1" w:history="1">
            <w:r w:rsidR="000719F8" w:rsidRPr="000719F8">
              <w:rPr>
                <w:rStyle w:val="Hyperlink"/>
                <w:rFonts w:asciiTheme="majorBidi" w:eastAsia="SimSun" w:hAnsiTheme="majorBidi" w:cstheme="majorBidi"/>
                <w:b/>
                <w:bCs/>
                <w:color w:val="663300"/>
                <w:sz w:val="16"/>
                <w:szCs w:val="16"/>
                <w:u w:val="none"/>
                <w:lang w:val="tr-TR"/>
              </w:rPr>
              <w:t>https://jour</w:t>
            </w:r>
            <w:r w:rsidR="000719F8" w:rsidRPr="000719F8">
              <w:rPr>
                <w:rStyle w:val="Hyperlink"/>
                <w:rFonts w:asciiTheme="majorBidi" w:eastAsia="SimSun" w:hAnsiTheme="majorBidi" w:cstheme="majorBidi"/>
                <w:b/>
                <w:bCs/>
                <w:color w:val="663300"/>
                <w:sz w:val="16"/>
                <w:szCs w:val="16"/>
                <w:u w:val="none"/>
                <w:lang w:val="tr-TR"/>
              </w:rPr>
              <w:t>n</w:t>
            </w:r>
            <w:r w:rsidR="000719F8" w:rsidRPr="000719F8">
              <w:rPr>
                <w:rStyle w:val="Hyperlink"/>
                <w:rFonts w:asciiTheme="majorBidi" w:eastAsia="SimSun" w:hAnsiTheme="majorBidi" w:cstheme="majorBidi"/>
                <w:b/>
                <w:bCs/>
                <w:color w:val="663300"/>
                <w:sz w:val="16"/>
                <w:szCs w:val="16"/>
                <w:u w:val="none"/>
                <w:lang w:val="tr-TR"/>
              </w:rPr>
              <w:t>alinpc.com/</w:t>
            </w:r>
          </w:hyperlink>
        </w:p>
      </w:tc>
      <w:tc>
        <w:tcPr>
          <w:tcW w:w="3005" w:type="dxa"/>
        </w:tcPr>
        <w:p w14:paraId="6E77670C" w14:textId="77777777" w:rsidR="008F7C69" w:rsidRDefault="008F7C69" w:rsidP="008F7C69">
          <w:pPr>
            <w:pStyle w:val="Footer"/>
            <w:ind w:firstLine="0"/>
            <w:jc w:val="center"/>
          </w:pPr>
          <w:r w:rsidRPr="008F7C69">
            <w:rPr>
              <w:noProof/>
            </w:rPr>
            <w:drawing>
              <wp:inline distT="0" distB="0" distL="0" distR="0" wp14:anchorId="0718D69D" wp14:editId="773270CC">
                <wp:extent cx="446567" cy="223284"/>
                <wp:effectExtent l="0" t="0" r="0" b="5715"/>
                <wp:docPr id="33" name="Picture 33" descr="C:\Users\user\Desktop\logo-Jo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o-Journ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556" cy="230278"/>
                        </a:xfrm>
                        <a:prstGeom prst="rect">
                          <a:avLst/>
                        </a:prstGeom>
                        <a:noFill/>
                        <a:ln>
                          <a:noFill/>
                        </a:ln>
                      </pic:spPr>
                    </pic:pic>
                  </a:graphicData>
                </a:graphic>
              </wp:inline>
            </w:drawing>
          </w:r>
        </w:p>
      </w:tc>
      <w:tc>
        <w:tcPr>
          <w:tcW w:w="3006" w:type="dxa"/>
        </w:tcPr>
        <w:p w14:paraId="75B92593" w14:textId="77777777" w:rsidR="008F7C69" w:rsidRDefault="008F7C69" w:rsidP="008F7C69">
          <w:pPr>
            <w:pStyle w:val="Footer"/>
            <w:ind w:firstLine="0"/>
            <w:jc w:val="center"/>
          </w:pPr>
        </w:p>
      </w:tc>
    </w:tr>
  </w:tbl>
  <w:p w14:paraId="64B6171F" w14:textId="77777777" w:rsidR="008F7C69" w:rsidRDefault="008F7C69" w:rsidP="008F7C6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B9901" w14:textId="77777777" w:rsidR="00387AD3" w:rsidRDefault="00387AD3" w:rsidP="00A50AD6">
      <w:r>
        <w:separator/>
      </w:r>
    </w:p>
  </w:footnote>
  <w:footnote w:type="continuationSeparator" w:id="0">
    <w:p w14:paraId="12CA1072" w14:textId="77777777" w:rsidR="00387AD3" w:rsidRDefault="00387AD3" w:rsidP="00A50A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2103" w14:textId="77777777" w:rsidR="000719F8" w:rsidRPr="00D61EFE" w:rsidRDefault="00387AD3" w:rsidP="000719F8">
    <w:pPr>
      <w:pStyle w:val="Header"/>
      <w:spacing w:line="276" w:lineRule="auto"/>
      <w:ind w:firstLine="0"/>
      <w:rPr>
        <w:rStyle w:val="Emphasis"/>
        <w:i w:val="0"/>
        <w:iCs w:val="0"/>
        <w:color w:val="13CC99"/>
        <w:sz w:val="16"/>
        <w:szCs w:val="16"/>
      </w:rPr>
    </w:pPr>
    <w:sdt>
      <w:sdtPr>
        <w:rPr>
          <w:i/>
          <w:iCs/>
        </w:rPr>
        <w:id w:val="-2113966784"/>
        <w:docPartObj>
          <w:docPartGallery w:val="Page Numbers (Margins)"/>
          <w:docPartUnique/>
        </w:docPartObj>
      </w:sdtPr>
      <w:sdtEndPr>
        <w:rPr>
          <w:i w:val="0"/>
          <w:iCs w:val="0"/>
        </w:rPr>
      </w:sdtEndPr>
      <w:sdtContent>
        <w:r w:rsidR="008F7C69">
          <w:rPr>
            <w:noProof/>
          </w:rPr>
          <mc:AlternateContent>
            <mc:Choice Requires="wps">
              <w:drawing>
                <wp:anchor distT="0" distB="0" distL="114300" distR="114300" simplePos="0" relativeHeight="251659264" behindDoc="0" locked="0" layoutInCell="0" allowOverlap="1" wp14:anchorId="5C909357" wp14:editId="31716A84">
                  <wp:simplePos x="0" y="0"/>
                  <wp:positionH relativeFrom="rightMargin">
                    <wp:align>right</wp:align>
                  </wp:positionH>
                  <wp:positionV relativeFrom="margin">
                    <wp:align>center</wp:align>
                  </wp:positionV>
                  <wp:extent cx="727710" cy="329565"/>
                  <wp:effectExtent l="0" t="0" r="0" b="38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A286C" w14:textId="6109B36D" w:rsidR="008F7C69" w:rsidRPr="008F7C69" w:rsidRDefault="008F7C69" w:rsidP="008F7C69">
                              <w:pPr>
                                <w:pBdr>
                                  <w:bottom w:val="single" w:sz="4" w:space="1" w:color="auto"/>
                                </w:pBdr>
                                <w:ind w:firstLine="0"/>
                                <w:rPr>
                                  <w:rFonts w:asciiTheme="majorBidi" w:hAnsiTheme="majorBidi" w:cstheme="majorBidi"/>
                                  <w:sz w:val="20"/>
                                  <w:szCs w:val="20"/>
                                </w:rPr>
                              </w:pPr>
                              <w:r w:rsidRPr="008F7C69">
                                <w:rPr>
                                  <w:rFonts w:asciiTheme="majorBidi" w:hAnsiTheme="majorBidi" w:cstheme="majorBidi"/>
                                  <w:sz w:val="20"/>
                                  <w:szCs w:val="20"/>
                                </w:rPr>
                                <w:fldChar w:fldCharType="begin"/>
                              </w:r>
                              <w:r w:rsidRPr="008F7C69">
                                <w:rPr>
                                  <w:rFonts w:asciiTheme="majorBidi" w:hAnsiTheme="majorBidi" w:cstheme="majorBidi"/>
                                  <w:sz w:val="20"/>
                                  <w:szCs w:val="20"/>
                                </w:rPr>
                                <w:instrText xml:space="preserve"> PAGE   \* MERGEFORMAT </w:instrText>
                              </w:r>
                              <w:r w:rsidRPr="008F7C69">
                                <w:rPr>
                                  <w:rFonts w:asciiTheme="majorBidi" w:hAnsiTheme="majorBidi" w:cstheme="majorBidi"/>
                                  <w:sz w:val="20"/>
                                  <w:szCs w:val="20"/>
                                </w:rPr>
                                <w:fldChar w:fldCharType="separate"/>
                              </w:r>
                              <w:r w:rsidR="00D81B5D">
                                <w:rPr>
                                  <w:rFonts w:asciiTheme="majorBidi" w:hAnsiTheme="majorBidi" w:cstheme="majorBidi"/>
                                  <w:noProof/>
                                  <w:sz w:val="20"/>
                                  <w:szCs w:val="20"/>
                                </w:rPr>
                                <w:t>11</w:t>
                              </w:r>
                              <w:r w:rsidRPr="008F7C69">
                                <w:rPr>
                                  <w:rFonts w:asciiTheme="majorBidi" w:hAnsiTheme="majorBidi" w:cstheme="majorBidi"/>
                                  <w:noProof/>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C909357" id="Rectangle 18" o:spid="_x0000_s1027"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YPgQIAAAc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CuRYYPgQIA&#10;AAcFAAAOAAAAAAAAAAAAAAAAAC4CAABkcnMvZTJvRG9jLnhtbFBLAQItABQABgAIAAAAIQBxpoaD&#10;3AAAAAQBAAAPAAAAAAAAAAAAAAAAANsEAABkcnMvZG93bnJldi54bWxQSwUGAAAAAAQABADzAAAA&#10;5AUAAAAA&#10;" o:allowincell="f" stroked="f">
                  <v:textbox>
                    <w:txbxContent>
                      <w:p w14:paraId="6C9A286C" w14:textId="6109B36D" w:rsidR="008F7C69" w:rsidRPr="008F7C69" w:rsidRDefault="008F7C69" w:rsidP="008F7C69">
                        <w:pPr>
                          <w:pBdr>
                            <w:bottom w:val="single" w:sz="4" w:space="1" w:color="auto"/>
                          </w:pBdr>
                          <w:ind w:firstLine="0"/>
                          <w:rPr>
                            <w:rFonts w:asciiTheme="majorBidi" w:hAnsiTheme="majorBidi" w:cstheme="majorBidi"/>
                            <w:sz w:val="20"/>
                            <w:szCs w:val="20"/>
                          </w:rPr>
                        </w:pPr>
                        <w:r w:rsidRPr="008F7C69">
                          <w:rPr>
                            <w:rFonts w:asciiTheme="majorBidi" w:hAnsiTheme="majorBidi" w:cstheme="majorBidi"/>
                            <w:sz w:val="20"/>
                            <w:szCs w:val="20"/>
                          </w:rPr>
                          <w:fldChar w:fldCharType="begin"/>
                        </w:r>
                        <w:r w:rsidRPr="008F7C69">
                          <w:rPr>
                            <w:rFonts w:asciiTheme="majorBidi" w:hAnsiTheme="majorBidi" w:cstheme="majorBidi"/>
                            <w:sz w:val="20"/>
                            <w:szCs w:val="20"/>
                          </w:rPr>
                          <w:instrText xml:space="preserve"> PAGE   \* MERGEFORMAT </w:instrText>
                        </w:r>
                        <w:r w:rsidRPr="008F7C69">
                          <w:rPr>
                            <w:rFonts w:asciiTheme="majorBidi" w:hAnsiTheme="majorBidi" w:cstheme="majorBidi"/>
                            <w:sz w:val="20"/>
                            <w:szCs w:val="20"/>
                          </w:rPr>
                          <w:fldChar w:fldCharType="separate"/>
                        </w:r>
                        <w:r w:rsidR="00D81B5D">
                          <w:rPr>
                            <w:rFonts w:asciiTheme="majorBidi" w:hAnsiTheme="majorBidi" w:cstheme="majorBidi"/>
                            <w:noProof/>
                            <w:sz w:val="20"/>
                            <w:szCs w:val="20"/>
                          </w:rPr>
                          <w:t>11</w:t>
                        </w:r>
                        <w:r w:rsidRPr="008F7C69">
                          <w:rPr>
                            <w:rFonts w:asciiTheme="majorBidi" w:hAnsiTheme="majorBidi" w:cstheme="majorBidi"/>
                            <w:noProof/>
                            <w:sz w:val="20"/>
                            <w:szCs w:val="20"/>
                          </w:rPr>
                          <w:fldChar w:fldCharType="end"/>
                        </w:r>
                      </w:p>
                    </w:txbxContent>
                  </v:textbox>
                  <w10:wrap anchorx="margin" anchory="margin"/>
                </v:rect>
              </w:pict>
            </mc:Fallback>
          </mc:AlternateContent>
        </w:r>
      </w:sdtContent>
    </w:sdt>
    <w:r w:rsidR="000719F8" w:rsidRPr="00D61EFE">
      <w:rPr>
        <w:rFonts w:asciiTheme="majorBidi" w:hAnsiTheme="majorBidi" w:cstheme="majorBidi"/>
        <w:b/>
        <w:color w:val="13CC99"/>
        <w:sz w:val="17"/>
        <w:szCs w:val="17"/>
      </w:rPr>
      <w:t>Journal of Integrative Nursing and Palliative Care (JINPC) |</w:t>
    </w:r>
    <w:r w:rsidR="000719F8" w:rsidRPr="00D61EFE">
      <w:rPr>
        <w:rStyle w:val="Emphasis"/>
        <w:rFonts w:asciiTheme="majorBidi" w:hAnsiTheme="majorBidi" w:cstheme="majorBidi"/>
        <w:b/>
        <w:i w:val="0"/>
        <w:iCs w:val="0"/>
        <w:color w:val="13CC99"/>
        <w:sz w:val="17"/>
        <w:szCs w:val="17"/>
      </w:rPr>
      <w:t xml:space="preserve"> Volume </w:t>
    </w:r>
    <w:r w:rsidR="000719F8" w:rsidRPr="00D61EFE">
      <w:rPr>
        <w:rStyle w:val="Emphasis"/>
        <w:rFonts w:asciiTheme="majorBidi" w:hAnsiTheme="majorBidi" w:cstheme="majorBidi"/>
        <w:b/>
        <w:i w:val="0"/>
        <w:iCs w:val="0"/>
        <w:color w:val="13CC99"/>
        <w:sz w:val="17"/>
        <w:szCs w:val="17"/>
        <w:highlight w:val="yellow"/>
      </w:rPr>
      <w:t>1</w:t>
    </w:r>
    <w:r w:rsidR="000719F8" w:rsidRPr="00D61EFE">
      <w:rPr>
        <w:rStyle w:val="Emphasis"/>
        <w:rFonts w:asciiTheme="majorBidi" w:hAnsiTheme="majorBidi" w:cstheme="majorBidi"/>
        <w:b/>
        <w:i w:val="0"/>
        <w:iCs w:val="0"/>
        <w:color w:val="13CC99"/>
        <w:sz w:val="17"/>
        <w:szCs w:val="17"/>
      </w:rPr>
      <w:t xml:space="preserve"> | Issue </w:t>
    </w:r>
    <w:r w:rsidR="000719F8" w:rsidRPr="00D61EFE">
      <w:rPr>
        <w:rStyle w:val="Emphasis"/>
        <w:rFonts w:asciiTheme="majorBidi" w:hAnsiTheme="majorBidi" w:cstheme="majorBidi"/>
        <w:b/>
        <w:i w:val="0"/>
        <w:iCs w:val="0"/>
        <w:color w:val="13CC99"/>
        <w:sz w:val="17"/>
        <w:szCs w:val="17"/>
        <w:highlight w:val="yellow"/>
      </w:rPr>
      <w:t>x</w:t>
    </w:r>
    <w:r w:rsidR="000719F8" w:rsidRPr="00D61EFE">
      <w:rPr>
        <w:rStyle w:val="Emphasis"/>
        <w:rFonts w:asciiTheme="majorBidi" w:hAnsiTheme="majorBidi" w:cstheme="majorBidi"/>
        <w:b/>
        <w:i w:val="0"/>
        <w:iCs w:val="0"/>
        <w:color w:val="13CC99"/>
        <w:sz w:val="17"/>
        <w:szCs w:val="17"/>
      </w:rPr>
      <w:t xml:space="preserve"> | Page </w:t>
    </w:r>
    <w:r w:rsidR="000719F8" w:rsidRPr="00D61EFE">
      <w:rPr>
        <w:rStyle w:val="Emphasis"/>
        <w:rFonts w:asciiTheme="majorBidi" w:hAnsiTheme="majorBidi" w:cstheme="majorBidi"/>
        <w:b/>
        <w:i w:val="0"/>
        <w:iCs w:val="0"/>
        <w:color w:val="13CC99"/>
        <w:sz w:val="17"/>
        <w:szCs w:val="17"/>
        <w:highlight w:val="yellow"/>
      </w:rPr>
      <w:t>xx-xx</w:t>
    </w:r>
  </w:p>
  <w:p w14:paraId="03B03E05" w14:textId="77777777" w:rsidR="008F7C69" w:rsidRDefault="000719F8" w:rsidP="000719F8">
    <w:pPr>
      <w:pStyle w:val="Header"/>
      <w:pBdr>
        <w:bottom w:val="single" w:sz="8" w:space="1" w:color="000000" w:themeColor="text1"/>
      </w:pBdr>
      <w:spacing w:line="276" w:lineRule="auto"/>
      <w:ind w:firstLine="0"/>
      <w:rPr>
        <w:rFonts w:asciiTheme="majorBidi" w:hAnsiTheme="majorBidi" w:cstheme="majorBidi"/>
        <w:color w:val="000000" w:themeColor="text1"/>
        <w:sz w:val="16"/>
        <w:szCs w:val="16"/>
      </w:rPr>
    </w:pPr>
    <w:proofErr w:type="spellStart"/>
    <w:r w:rsidRPr="000719F8">
      <w:rPr>
        <w:rFonts w:asciiTheme="majorBidi" w:hAnsiTheme="majorBidi" w:cstheme="majorBidi"/>
        <w:color w:val="000000" w:themeColor="text1"/>
        <w:sz w:val="16"/>
        <w:szCs w:val="16"/>
      </w:rPr>
      <w:t>Keshavarzian</w:t>
    </w:r>
    <w:proofErr w:type="spellEnd"/>
    <w:r>
      <w:rPr>
        <w:rFonts w:asciiTheme="majorBidi" w:hAnsiTheme="majorBidi" w:cstheme="majorBidi"/>
        <w:color w:val="000000" w:themeColor="text1"/>
        <w:sz w:val="16"/>
        <w:szCs w:val="16"/>
      </w:rPr>
      <w:t xml:space="preserve"> </w:t>
    </w:r>
    <w:r w:rsidRPr="000719F8">
      <w:rPr>
        <w:rFonts w:asciiTheme="majorBidi" w:hAnsiTheme="majorBidi" w:cstheme="majorBidi"/>
        <w:i/>
        <w:iCs/>
        <w:color w:val="000000" w:themeColor="text1"/>
        <w:sz w:val="16"/>
        <w:szCs w:val="16"/>
      </w:rPr>
      <w:t>et al.</w:t>
    </w:r>
    <w:r w:rsidRPr="000719F8">
      <w:rPr>
        <w:rFonts w:asciiTheme="majorBidi" w:hAnsiTheme="majorBidi" w:cstheme="majorBidi"/>
        <w:color w:val="000000" w:themeColor="text1"/>
        <w:sz w:val="16"/>
        <w:szCs w:val="16"/>
      </w:rPr>
      <w:t xml:space="preserve">, Investigating Factors Related to Hepatitis </w:t>
    </w:r>
    <w:proofErr w:type="gramStart"/>
    <w:r w:rsidRPr="000719F8">
      <w:rPr>
        <w:rFonts w:asciiTheme="majorBidi" w:hAnsiTheme="majorBidi" w:cstheme="majorBidi"/>
        <w:color w:val="000000" w:themeColor="text1"/>
        <w:sz w:val="16"/>
        <w:szCs w:val="16"/>
      </w:rPr>
      <w:t>A</w:t>
    </w:r>
    <w:proofErr w:type="gramEnd"/>
    <w:r w:rsidRPr="000719F8">
      <w:rPr>
        <w:rFonts w:asciiTheme="majorBidi" w:hAnsiTheme="majorBidi" w:cstheme="majorBidi"/>
        <w:color w:val="000000" w:themeColor="text1"/>
        <w:sz w:val="16"/>
        <w:szCs w:val="16"/>
      </w:rPr>
      <w:t xml:space="preserve"> Outbreak in Ismailia Village, Karun City, in 2019</w:t>
    </w:r>
  </w:p>
  <w:p w14:paraId="1B47F5B3" w14:textId="77777777" w:rsidR="000719F8" w:rsidRPr="000719F8" w:rsidRDefault="000719F8" w:rsidP="000719F8">
    <w:pPr>
      <w:pStyle w:val="Header"/>
      <w:pBdr>
        <w:bottom w:val="single" w:sz="8" w:space="1" w:color="000000" w:themeColor="text1"/>
      </w:pBdr>
      <w:spacing w:line="276" w:lineRule="auto"/>
      <w:ind w:firstLine="0"/>
      <w:rPr>
        <w:rFonts w:asciiTheme="majorBidi" w:hAnsiTheme="majorBidi" w:cstheme="majorBidi"/>
        <w:color w:val="000000" w:themeColor="text1"/>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3B1"/>
    <w:multiLevelType w:val="hybridMultilevel"/>
    <w:tmpl w:val="2D50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D52B8"/>
    <w:multiLevelType w:val="hybridMultilevel"/>
    <w:tmpl w:val="28827890"/>
    <w:lvl w:ilvl="0" w:tplc="AC64F0FA">
      <w:start w:val="1"/>
      <w:numFmt w:val="lowerLetter"/>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EAF290">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C6CC7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CE3D9E">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E6D5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2C2690">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C2B9E8">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C428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D6452C">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BD2794"/>
    <w:multiLevelType w:val="hybridMultilevel"/>
    <w:tmpl w:val="09DA6C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8524088"/>
    <w:multiLevelType w:val="hybridMultilevel"/>
    <w:tmpl w:val="922E79DE"/>
    <w:lvl w:ilvl="0" w:tplc="EB90B3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Editor 1.2">
    <w15:presenceInfo w15:providerId="None" w15:userId="Editor 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80"/>
    <w:rsid w:val="000719F8"/>
    <w:rsid w:val="00077A88"/>
    <w:rsid w:val="000E0880"/>
    <w:rsid w:val="001237C6"/>
    <w:rsid w:val="00252D13"/>
    <w:rsid w:val="00387AD3"/>
    <w:rsid w:val="003B6FD3"/>
    <w:rsid w:val="003D13D4"/>
    <w:rsid w:val="00464FE4"/>
    <w:rsid w:val="00482645"/>
    <w:rsid w:val="004C2C5A"/>
    <w:rsid w:val="00574EF5"/>
    <w:rsid w:val="008A7C90"/>
    <w:rsid w:val="008F7C69"/>
    <w:rsid w:val="00996A49"/>
    <w:rsid w:val="00A50AD6"/>
    <w:rsid w:val="00A57072"/>
    <w:rsid w:val="00A65131"/>
    <w:rsid w:val="00A73480"/>
    <w:rsid w:val="00C90D84"/>
    <w:rsid w:val="00D61EFE"/>
    <w:rsid w:val="00D81B5D"/>
    <w:rsid w:val="00ED3F3D"/>
    <w:rsid w:val="00FA4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3617D"/>
  <w15:chartTrackingRefBased/>
  <w15:docId w15:val="{74F2ACF9-ED15-41D4-AFC1-E393DECE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aliases w:val="comment text"/>
    <w:basedOn w:val="Normal"/>
    <w:link w:val="CommentTextChar"/>
    <w:uiPriority w:val="99"/>
    <w:unhideWhenUsed/>
    <w:qFormat/>
    <w:rsid w:val="00574EF5"/>
    <w:rPr>
      <w:sz w:val="20"/>
      <w:szCs w:val="20"/>
    </w:rPr>
  </w:style>
  <w:style w:type="character" w:customStyle="1" w:styleId="CommentTextChar">
    <w:name w:val="Comment Text Char"/>
    <w:aliases w:val="comment text Char"/>
    <w:basedOn w:val="DefaultParagraphFont"/>
    <w:link w:val="CommentText"/>
    <w:uiPriority w:val="99"/>
    <w:rsid w:val="00574EF5"/>
    <w:rPr>
      <w:sz w:val="20"/>
      <w:szCs w:val="20"/>
    </w:rPr>
  </w:style>
  <w:style w:type="character" w:styleId="CommentReference">
    <w:name w:val="annotation reference"/>
    <w:basedOn w:val="DefaultParagraphFont"/>
    <w:uiPriority w:val="99"/>
    <w:unhideWhenUsed/>
    <w:qFormat/>
    <w:rsid w:val="00574EF5"/>
    <w:rPr>
      <w:sz w:val="16"/>
      <w:szCs w:val="16"/>
    </w:rPr>
  </w:style>
  <w:style w:type="paragraph" w:styleId="BalloonText">
    <w:name w:val="Balloon Text"/>
    <w:basedOn w:val="Normal"/>
    <w:link w:val="BalloonTextChar"/>
    <w:uiPriority w:val="99"/>
    <w:semiHidden/>
    <w:unhideWhenUsed/>
    <w:rsid w:val="00574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F5"/>
    <w:rPr>
      <w:rFonts w:ascii="Segoe UI" w:hAnsi="Segoe UI" w:cs="Segoe UI"/>
      <w:sz w:val="18"/>
      <w:szCs w:val="18"/>
    </w:rPr>
  </w:style>
  <w:style w:type="table" w:customStyle="1" w:styleId="amm1">
    <w:name w:val="amm1"/>
    <w:basedOn w:val="TableNormal"/>
    <w:next w:val="TableGrid"/>
    <w:uiPriority w:val="59"/>
    <w:qFormat/>
    <w:rsid w:val="00A50AD6"/>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AD6"/>
    <w:rPr>
      <w:color w:val="0563C1" w:themeColor="hyperlink"/>
      <w:u w:val="single"/>
    </w:rPr>
  </w:style>
  <w:style w:type="table" w:customStyle="1" w:styleId="TableGrid1">
    <w:name w:val="Table Grid1"/>
    <w:basedOn w:val="TableNormal"/>
    <w:next w:val="TableGrid"/>
    <w:uiPriority w:val="59"/>
    <w:rsid w:val="00A50AD6"/>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qFormat/>
    <w:rsid w:val="00A50AD6"/>
    <w:pPr>
      <w:ind w:firstLine="0"/>
      <w:jc w:val="left"/>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50AD6"/>
    <w:pPr>
      <w:tabs>
        <w:tab w:val="center" w:pos="4680"/>
        <w:tab w:val="right" w:pos="9360"/>
      </w:tabs>
    </w:pPr>
  </w:style>
  <w:style w:type="character" w:customStyle="1" w:styleId="HeaderChar">
    <w:name w:val="Header Char"/>
    <w:basedOn w:val="DefaultParagraphFont"/>
    <w:link w:val="Header"/>
    <w:uiPriority w:val="99"/>
    <w:rsid w:val="00A50AD6"/>
  </w:style>
  <w:style w:type="paragraph" w:styleId="Footer">
    <w:name w:val="footer"/>
    <w:basedOn w:val="Normal"/>
    <w:link w:val="FooterChar"/>
    <w:uiPriority w:val="99"/>
    <w:unhideWhenUsed/>
    <w:rsid w:val="00A50AD6"/>
    <w:pPr>
      <w:tabs>
        <w:tab w:val="center" w:pos="4680"/>
        <w:tab w:val="right" w:pos="9360"/>
      </w:tabs>
    </w:pPr>
  </w:style>
  <w:style w:type="character" w:customStyle="1" w:styleId="FooterChar">
    <w:name w:val="Footer Char"/>
    <w:basedOn w:val="DefaultParagraphFont"/>
    <w:link w:val="Footer"/>
    <w:uiPriority w:val="99"/>
    <w:rsid w:val="00A50AD6"/>
  </w:style>
  <w:style w:type="character" w:styleId="FollowedHyperlink">
    <w:name w:val="FollowedHyperlink"/>
    <w:basedOn w:val="DefaultParagraphFont"/>
    <w:uiPriority w:val="99"/>
    <w:semiHidden/>
    <w:unhideWhenUsed/>
    <w:rsid w:val="000719F8"/>
    <w:rPr>
      <w:color w:val="954F72" w:themeColor="followedHyperlink"/>
      <w:u w:val="single"/>
    </w:rPr>
  </w:style>
  <w:style w:type="character" w:styleId="Emphasis">
    <w:name w:val="Emphasis"/>
    <w:uiPriority w:val="20"/>
    <w:qFormat/>
    <w:rsid w:val="000719F8"/>
    <w:rPr>
      <w:i/>
      <w:iCs/>
    </w:rPr>
  </w:style>
  <w:style w:type="character" w:styleId="FootnoteReference">
    <w:name w:val="footnote reference"/>
    <w:aliases w:val="شماره زيرنويس,مرجع پاورقي"/>
    <w:uiPriority w:val="99"/>
    <w:unhideWhenUsed/>
    <w:rsid w:val="000719F8"/>
    <w:rPr>
      <w:vertAlign w:val="superscript"/>
    </w:rPr>
  </w:style>
  <w:style w:type="paragraph" w:styleId="ListParagraph">
    <w:name w:val="List Paragraph"/>
    <w:basedOn w:val="Normal"/>
    <w:link w:val="ListParagraphChar"/>
    <w:uiPriority w:val="34"/>
    <w:qFormat/>
    <w:rsid w:val="003D13D4"/>
    <w:pPr>
      <w:ind w:left="720" w:firstLine="0"/>
      <w:contextualSpacing/>
      <w:jc w:val="left"/>
    </w:pPr>
    <w:rPr>
      <w:rFonts w:ascii="Calibri" w:eastAsia="Calibri" w:hAnsi="Calibri" w:cs="Arial"/>
      <w:lang w:val="tr-TR"/>
    </w:rPr>
  </w:style>
  <w:style w:type="character" w:customStyle="1" w:styleId="ListParagraphChar">
    <w:name w:val="List Paragraph Char"/>
    <w:link w:val="ListParagraph"/>
    <w:uiPriority w:val="34"/>
    <w:rsid w:val="003D13D4"/>
    <w:rPr>
      <w:rFonts w:ascii="Calibri" w:eastAsia="Calibri" w:hAnsi="Calibri" w:cs="Arial"/>
      <w:lang w:val="tr-TR"/>
    </w:rPr>
  </w:style>
  <w:style w:type="paragraph" w:styleId="CommentSubject">
    <w:name w:val="annotation subject"/>
    <w:basedOn w:val="CommentText"/>
    <w:next w:val="CommentText"/>
    <w:link w:val="CommentSubjectChar"/>
    <w:uiPriority w:val="99"/>
    <w:semiHidden/>
    <w:unhideWhenUsed/>
    <w:rsid w:val="00ED3F3D"/>
    <w:rPr>
      <w:b/>
      <w:bCs/>
    </w:rPr>
  </w:style>
  <w:style w:type="character" w:customStyle="1" w:styleId="CommentSubjectChar">
    <w:name w:val="Comment Subject Char"/>
    <w:basedOn w:val="CommentTextChar"/>
    <w:link w:val="CommentSubject"/>
    <w:uiPriority w:val="99"/>
    <w:semiHidden/>
    <w:rsid w:val="00ED3F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linicaltrials.gov/ct2/show/NCT02360657?term=JNJ-54861911&amp;rank=1" TargetMode="External"/><Relationship Id="rId18" Type="http://schemas.openxmlformats.org/officeDocument/2006/relationships/hyperlink" Target="http://www.nlm.nih.gov/medlineplus/druginfo/meds/a604025.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linicaltrials.gov/ct2/show/NCT01887535?term=JNJ-54861911&amp;rank=9" TargetMode="External"/><Relationship Id="rId17" Type="http://schemas.openxmlformats.org/officeDocument/2006/relationships/hyperlink" Target="http://www.nlm.nih.gov/medlineplus/ency/article/001064.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007/978-1-4614-164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clinicaltrials.gov/ct2/show/NCT02569398?term=JNJ-54861911&amp;rank=3" TargetMode="External"/><Relationship Id="rId23" Type="http://schemas.openxmlformats.org/officeDocument/2006/relationships/fontTable" Target="fontTable.xml"/><Relationship Id="rId10" Type="http://schemas.openxmlformats.org/officeDocument/2006/relationships/hyperlink" Target="https://www.fda.gov/ForPatients/Approvals/Drugs/default.htm" TargetMode="External"/><Relationship Id="rId19" Type="http://schemas.openxmlformats.org/officeDocument/2006/relationships/hyperlink" Target="http://www.cdc.gov/shingles/about/photos.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linicaltrials.gov/ct2/show/NCT02406027"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journalinpc.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journalin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CDB9-121F-4DB7-80B5-FB33CCD8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2117</Words>
  <Characters>12069</Characters>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2023-10-07T05:59:00Z</dcterms:created>
  <dcterms:modified xsi:type="dcterms:W3CDTF">2023-11-25T05:19:00Z</dcterms:modified>
</cp:coreProperties>
</file>